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_rels/document.xml.rels" ContentType="application/vnd.openxmlformats-package.relationships+xml"/>
  <Override PartName="/word/footnotes.xml" ContentType="application/vnd.openxmlformats-officedocument.wordprocessingml.footnotes+xml"/>
  <Override PartName="/word/footer9.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5.xml" ContentType="application/vnd.openxmlformats-officedocument.wordprocessingml.header+xml"/>
  <Override PartName="/word/document.xml" ContentType="application/vnd.openxmlformats-officedocument.wordprocessingml.document.main+xml"/>
  <Override PartName="/word/footer4.xml" ContentType="application/vnd.openxmlformats-officedocument.wordprocessingml.footer+xml"/>
  <Override PartName="/word/header9.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left"/>
        <w:rPr>
          <w:b/>
          <w:sz w:val="24"/>
          <w:szCs w:val="24"/>
        </w:rPr>
      </w:pPr>
      <w:r>
        <w:rPr>
          <w:b/>
          <w:bCs/>
          <w:color w:val="000000"/>
          <w:sz w:val="24"/>
          <w:szCs w:val="24"/>
        </w:rPr>
        <w:tab/>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Хабаровск</w:t>
        <w:tab/>
        <w:tab/>
        <w:tab/>
        <w:tab/>
        <w:tab/>
        <w:tab/>
        <w:t xml:space="preserve">                                     «___» _________ 2023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pacing w:lineRule="auto" w:line="240"/>
        <w:ind w:firstLine="709"/>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(далее – «Заказчик»), в лице директора филиала АО «ДРСК» «Хабаровские электрические сети» </w:t>
      </w:r>
      <w:r>
        <w:rPr>
          <w:i/>
          <w:sz w:val="24"/>
          <w:szCs w:val="24"/>
        </w:rPr>
        <w:t>Гусева Николая Николаевича</w:t>
      </w:r>
      <w:r>
        <w:rPr>
          <w:sz w:val="24"/>
          <w:szCs w:val="24"/>
        </w:rPr>
        <w:t xml:space="preserve">, действующего на основании ______________, с одной стороны, и </w:t>
      </w:r>
    </w:p>
    <w:p>
      <w:pPr>
        <w:pStyle w:val="BodyText3"/>
        <w:ind w:firstLine="709"/>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pPr>
      <w:r>
        <w:rPr>
          <w:color w:val="00000A"/>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Pr>
          <w:b/>
          <w:color w:val="00000A"/>
        </w:rPr>
        <w:t xml:space="preserve">№109301-РЕМ ПРОД-2024-ДРСК-ХЭС </w:t>
      </w:r>
      <w:r>
        <w:rPr>
          <w:rFonts w:cs="Times New Roman"/>
          <w:b/>
          <w:bCs/>
          <w:color w:val="00000A"/>
          <w:sz w:val="26"/>
          <w:szCs w:val="26"/>
        </w:rPr>
        <w:t>«ОКПД2 42.22.22.140. Выполнение работ по капитальному ремонту ВЛ 6 кВ п. Маго, Многовершинная, ВЛ 10 кВ Маго-Иннокентьевка структурного подразделения "Северные электрические сети", в рамках выполнения годовой программы ремонтов 2024 года филиала "Хабаровские электрические сети"»</w:t>
      </w:r>
      <w:r>
        <w:rPr>
          <w:b/>
          <w:color w:val="00000A"/>
        </w:rPr>
        <w:t xml:space="preserve"> </w:t>
      </w:r>
      <w:r>
        <w:rPr>
          <w:color w:val="00000A"/>
          <w:highlight w:val="lightGray"/>
        </w:rPr>
        <w:t>_________</w:t>
      </w:r>
      <w:r>
        <w:rPr>
          <w:bCs/>
          <w:color w:val="00000A"/>
          <w:highlight w:val="lightGray"/>
        </w:rPr>
        <w:t>,</w:t>
      </w:r>
      <w:r>
        <w:rPr>
          <w:highlight w:val="lightGray"/>
        </w:rPr>
        <w:t xml:space="preserve"> </w:t>
      </w:r>
      <w:r>
        <w:rPr>
          <w:color w:val="00000A"/>
          <w:highlight w:val="lightGray"/>
        </w:rPr>
        <w:t>и</w:t>
      </w:r>
      <w:r>
        <w:rPr>
          <w:highlight w:val="lightGray"/>
        </w:rPr>
        <w:t xml:space="preserve"> </w:t>
      </w:r>
      <w:r>
        <w:rPr>
          <w:bCs/>
          <w:color w:val="00000A"/>
          <w:highlight w:val="lightGray"/>
        </w:rPr>
        <w:t>на основании протокола __________ №_______ от «___»__________ года,</w:t>
      </w:r>
      <w:r>
        <w:rPr>
          <w:bCs/>
          <w:color w:val="00000A"/>
        </w:rPr>
        <w:t xml:space="preserve"> </w:t>
      </w:r>
      <w:r>
        <w:rPr>
          <w:color w:val="00000A"/>
        </w:rPr>
        <w:t>заключили настоящий договор (далее – «Договор») о нижеследующем:</w:t>
      </w:r>
    </w:p>
    <w:p>
      <w:pPr>
        <w:pStyle w:val="BodyText3"/>
        <w:ind w:firstLine="708"/>
        <w:rPr>
          <w:color w:val="00000A"/>
        </w:rPr>
      </w:pPr>
      <w:r>
        <w:rPr>
          <w:color w:val="00000A"/>
        </w:rPr>
      </w:r>
    </w:p>
    <w:p>
      <w:pPr>
        <w:pStyle w:val="ListParagraph"/>
        <w:shd w:val="clear" w:color="auto" w:fill="FFFFFF"/>
        <w:tabs>
          <w:tab w:val="clear" w:pos="708"/>
          <w:tab w:val="left" w:pos="284" w:leader="none"/>
        </w:tabs>
        <w:ind w:left="0" w:firstLine="567"/>
        <w:jc w:val="center"/>
        <w:rPr>
          <w:b/>
          <w:bCs/>
        </w:rPr>
      </w:pPr>
      <w:r>
        <w:rPr>
          <w:b/>
          <w:bCs/>
        </w:rPr>
        <w:t>Термины и определения</w:t>
      </w:r>
    </w:p>
    <w:p>
      <w:pPr>
        <w:pStyle w:val="BodyText3"/>
        <w:ind w:firstLine="708"/>
        <w:rPr>
          <w:color w:val="00000A"/>
        </w:rPr>
      </w:pPr>
      <w:r>
        <w:rPr>
          <w:color w:val="00000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 </w:t>
      </w: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lang w:eastAsia="en-US"/>
        </w:rPr>
        <w:t>К Исполнительной документации относятся:</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Общий журнал работ</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промежуточной приемки ответственных конструкций;</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Результаты экспертиз, обследований в ходе выполнения работ;</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Акты приемки инженерных систем</w:t>
      </w:r>
      <w:r>
        <w:rPr>
          <w:lang w:val="en-US" w:eastAsia="en-US"/>
        </w:rPr>
        <w:t>;</w:t>
      </w:r>
    </w:p>
    <w:p>
      <w:pPr>
        <w:pStyle w:val="ListParagraph"/>
        <w:widowControl w:val="false"/>
        <w:numPr>
          <w:ilvl w:val="0"/>
          <w:numId w:val="3"/>
        </w:numPr>
        <w:shd w:val="clear" w:color="auto" w:fill="FFFFFF"/>
        <w:tabs>
          <w:tab w:val="clear" w:pos="708"/>
          <w:tab w:val="left" w:pos="567" w:leader="none"/>
          <w:tab w:val="left" w:pos="1134" w:leader="none"/>
        </w:tabs>
        <w:ind w:left="0" w:firstLine="709"/>
        <w:jc w:val="both"/>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ind w:left="0" w:firstLine="709"/>
        <w:jc w:val="both"/>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4"/>
        </w:numPr>
        <w:shd w:val="clear" w:color="auto" w:fill="FFFFFF"/>
        <w:tabs>
          <w:tab w:val="clear" w:pos="708"/>
          <w:tab w:val="left" w:pos="567" w:leader="none"/>
          <w:tab w:val="left" w:pos="1134" w:leader="none"/>
        </w:tabs>
        <w:ind w:left="0" w:firstLine="709"/>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ind w:left="0" w:firstLine="720"/>
        <w:jc w:val="both"/>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«Результат работ»</w:t>
      </w:r>
      <w:r>
        <w:rPr>
          <w:b w:val="false"/>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требовании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spacing w:before="0" w:after="0"/>
        <w:ind w:firstLine="709"/>
        <w:jc w:val="both"/>
        <w:rPr>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«Строительная площадка»</w:t>
      </w:r>
      <w:r>
        <w:rPr>
          <w:b w:val="false"/>
          <w:sz w:val="24"/>
          <w:szCs w:val="24"/>
          <w:lang w:eastAsia="en-US"/>
        </w:rPr>
        <w:t xml:space="preserve"> или </w:t>
      </w:r>
      <w:r>
        <w:rPr>
          <w:sz w:val="24"/>
          <w:szCs w:val="24"/>
          <w:lang w:eastAsia="en-US"/>
        </w:rPr>
        <w:t>«Стройплощадка»</w:t>
      </w:r>
      <w:r>
        <w:rPr>
          <w:b w:val="false"/>
          <w:sz w:val="24"/>
          <w:szCs w:val="24"/>
          <w:lang w:eastAsia="en-US"/>
        </w:rPr>
        <w:t xml:space="preserve"> – предоставляемая Подрядчику по акту для выполнения Работ территория в месте выполнения Работ.</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«Техническое требование»</w:t>
      </w:r>
      <w:r>
        <w:rPr>
          <w:b w:val="false"/>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«Цена Договора»</w:t>
      </w:r>
      <w:r>
        <w:rPr>
          <w:b w:val="false"/>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«Этап Работ»</w:t>
      </w:r>
      <w:r>
        <w:rPr>
          <w:b w:val="false"/>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pPr>
        <w:pStyle w:val="Heading3"/>
        <w:keepNext w:val="false"/>
        <w:widowControl w:val="false"/>
        <w:tabs>
          <w:tab w:val="clear" w:pos="708"/>
          <w:tab w:val="left" w:pos="567" w:leader="none"/>
        </w:tabs>
        <w:spacing w:before="0" w:after="0"/>
        <w:ind w:firstLine="708"/>
        <w:jc w:val="both"/>
        <w:rPr>
          <w:bCs/>
        </w:rPr>
      </w:pPr>
      <w:r>
        <w:rPr>
          <w:b w:val="false"/>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ListParagraph"/>
        <w:numPr>
          <w:ilvl w:val="0"/>
          <w:numId w:val="1"/>
        </w:numPr>
        <w:shd w:val="clear" w:color="auto" w:fill="FFFFFF"/>
        <w:tabs>
          <w:tab w:val="clear" w:pos="708"/>
          <w:tab w:val="left" w:pos="284" w:leader="none"/>
        </w:tabs>
        <w:ind w:left="0" w:hanging="0"/>
        <w:jc w:val="center"/>
        <w:rPr>
          <w:b/>
          <w:bCs/>
        </w:rPr>
      </w:pPr>
      <w:r>
        <w:rPr>
          <w:b/>
          <w:bCs/>
        </w:rPr>
        <w:t>Предмет Договора</w:t>
      </w:r>
    </w:p>
    <w:p>
      <w:pPr>
        <w:pStyle w:val="ListParagraph"/>
        <w:widowControl/>
        <w:numPr>
          <w:ilvl w:val="1"/>
          <w:numId w:val="1"/>
        </w:numPr>
        <w:shd w:val="clear" w:color="auto" w:fill="FFFFFF"/>
        <w:tabs>
          <w:tab w:val="clear" w:pos="708"/>
          <w:tab w:val="left" w:pos="1134" w:leader="none"/>
        </w:tabs>
        <w:bidi w:val="0"/>
        <w:spacing w:lineRule="auto" w:line="240" w:before="0" w:after="0"/>
        <w:ind w:left="0" w:right="0" w:firstLine="737"/>
        <w:contextualSpacing/>
        <w:jc w:val="both"/>
        <w:rPr/>
      </w:pPr>
      <w:r>
        <w:rPr>
          <w:bCs/>
        </w:rPr>
        <w:t xml:space="preserve">Подрядчик обязуется по заданию Заказчика в соответствии с Техническим требованием (Приложение № 1 к Договору) выполнить работы </w:t>
      </w:r>
      <w:r>
        <w:rPr>
          <w:rFonts w:cs="Times New Roman"/>
          <w:b/>
          <w:bCs/>
          <w:sz w:val="26"/>
          <w:szCs w:val="26"/>
        </w:rPr>
        <w:t xml:space="preserve">«ОКПД2 42.22.22.140. Выполнение работ по капитальному ремонту ВЛ 6 кВ </w:t>
      </w:r>
      <w:r>
        <w:rPr>
          <w:rFonts w:eastAsia="Times New Roman" w:cs="Times New Roman"/>
          <w:b/>
          <w:bCs/>
          <w:i w:val="false"/>
          <w:iCs w:val="false"/>
          <w:color w:val="00000A"/>
          <w:sz w:val="26"/>
          <w:szCs w:val="26"/>
          <w:lang w:val="ru-RU" w:eastAsia="ru-RU" w:bidi="ar-SA"/>
        </w:rPr>
        <w:t>п. Маго, Многовершинная, ВЛ 10 кВ Маго-Иннокентьевка структурного подразделения "Северные электрические сети", в рамках выполнения годовой программы ремонтов 2024 года филиала "Хабаровские электрические сети"»</w:t>
      </w:r>
    </w:p>
    <w:p>
      <w:pPr>
        <w:pStyle w:val="ListParagraph"/>
        <w:numPr>
          <w:ilvl w:val="1"/>
          <w:numId w:val="1"/>
        </w:numPr>
        <w:shd w:val="clear" w:color="auto" w:fill="FFFFFF"/>
        <w:tabs>
          <w:tab w:val="clear" w:pos="708"/>
          <w:tab w:val="left" w:pos="1134" w:leader="none"/>
        </w:tabs>
        <w:ind w:left="0" w:firstLine="709"/>
        <w:jc w:val="both"/>
        <w:rPr>
          <w:bCs/>
        </w:rPr>
      </w:pPr>
      <w:bookmarkStart w:id="4" w:name="_Ref361410951"/>
      <w:r>
        <w:rPr>
          <w:b/>
          <w:bCs/>
        </w:rPr>
        <w:t xml:space="preserve"> </w:t>
      </w:r>
      <w:bookmarkEnd w:id="4"/>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Объем Работ по Договору определяется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widowControl/>
        <w:numPr>
          <w:ilvl w:val="1"/>
          <w:numId w:val="1"/>
        </w:numPr>
        <w:shd w:val="clear" w:color="auto" w:fill="FFFFFF"/>
        <w:tabs>
          <w:tab w:val="clear" w:pos="708"/>
          <w:tab w:val="left" w:pos="1134" w:leader="none"/>
        </w:tabs>
        <w:bidi w:val="0"/>
        <w:spacing w:lineRule="auto" w:line="240" w:before="0" w:after="0"/>
        <w:ind w:left="0" w:right="0" w:firstLine="737"/>
        <w:contextualSpacing/>
        <w:jc w:val="both"/>
        <w:rPr/>
      </w:pPr>
      <w:r>
        <w:rPr>
          <w:bCs/>
        </w:rPr>
        <w:t xml:space="preserve">Работы по Договору выполняются для нужд СП «Северные электрические сети» филиала АО «ДРСК» «Хабаровские электрические сети», расположенный по адресу 680009, Российская Федерация, Хабаровский край, г. Комсомольск-на-Амуре, ул. Аллея Труда, 16/2, ИНН 2801108200, КПП 272402001. </w:t>
      </w:r>
    </w:p>
    <w:p>
      <w:pPr>
        <w:pStyle w:val="ListParagraph"/>
        <w:numPr>
          <w:ilvl w:val="1"/>
          <w:numId w:val="1"/>
        </w:numPr>
        <w:shd w:val="clear" w:color="auto" w:fill="FFFFFF"/>
        <w:tabs>
          <w:tab w:val="clear" w:pos="708"/>
          <w:tab w:val="left" w:pos="1134" w:leader="none"/>
        </w:tabs>
        <w:ind w:left="0" w:firstLine="709"/>
        <w:jc w:val="both"/>
        <w:rPr>
          <w:bCs/>
        </w:rPr>
      </w:pPr>
      <w:r>
        <w:rPr>
          <w:bCs/>
        </w:rPr>
        <w:t>Место выполнения Работ</w:t>
      </w:r>
      <w:r>
        <w:rPr>
          <w:bCs/>
          <w:sz w:val="22"/>
        </w:rPr>
        <w:t>: Хабаровский край</w:t>
      </w:r>
      <w:r>
        <w:rPr/>
        <w:t>.</w:t>
      </w:r>
    </w:p>
    <w:p>
      <w:pPr>
        <w:pStyle w:val="ListParagraph"/>
        <w:numPr>
          <w:ilvl w:val="1"/>
          <w:numId w:val="1"/>
        </w:numPr>
        <w:shd w:val="clear" w:color="auto" w:fill="FFFFFF"/>
        <w:tabs>
          <w:tab w:val="clear" w:pos="708"/>
          <w:tab w:val="left" w:pos="1134" w:leader="none"/>
        </w:tabs>
        <w:ind w:left="0" w:firstLine="709"/>
        <w:jc w:val="both"/>
        <w:rPr>
          <w:bCs/>
        </w:rPr>
      </w:pPr>
      <w:bookmarkStart w:id="5" w:name="_Ref361320424"/>
      <w:bookmarkEnd w:id="5"/>
      <w:r>
        <w:rPr>
          <w:bCs/>
        </w:rPr>
        <w:t>Работы выполняются Подрядчиком в следующие сроки:</w:t>
      </w:r>
    </w:p>
    <w:p>
      <w:pPr>
        <w:pStyle w:val="ListParagraph"/>
        <w:numPr>
          <w:ilvl w:val="2"/>
          <w:numId w:val="1"/>
        </w:numPr>
        <w:shd w:val="clear" w:color="auto" w:fill="FFFFFF"/>
        <w:tabs>
          <w:tab w:val="clear" w:pos="708"/>
          <w:tab w:val="left" w:pos="1418" w:leader="none"/>
        </w:tabs>
        <w:ind w:left="0" w:firstLine="709"/>
        <w:jc w:val="both"/>
        <w:rPr/>
      </w:pPr>
      <w:r>
        <w:rPr>
          <w:bCs/>
        </w:rPr>
        <w:t xml:space="preserve">начало выполнения Работ: </w:t>
      </w:r>
      <w:r>
        <w:rPr/>
        <w:t>«01» мая 2024г.</w:t>
      </w:r>
    </w:p>
    <w:p>
      <w:pPr>
        <w:pStyle w:val="ListParagraph"/>
        <w:numPr>
          <w:ilvl w:val="2"/>
          <w:numId w:val="1"/>
        </w:numPr>
        <w:shd w:val="clear" w:color="auto" w:fill="FFFFFF"/>
        <w:tabs>
          <w:tab w:val="clear" w:pos="708"/>
          <w:tab w:val="left" w:pos="1418" w:leader="none"/>
        </w:tabs>
        <w:ind w:left="0" w:firstLine="709"/>
        <w:jc w:val="both"/>
        <w:rPr/>
      </w:pPr>
      <w:r>
        <w:rPr>
          <w:bCs/>
        </w:rPr>
        <w:t xml:space="preserve">окончание выполнения Работ: </w:t>
      </w:r>
      <w:r>
        <w:rPr/>
        <w:t>«31» октября</w:t>
      </w:r>
      <w:bookmarkStart w:id="6" w:name="_GoBack"/>
      <w:bookmarkEnd w:id="6"/>
      <w:r>
        <w:rPr/>
        <w:t xml:space="preserve"> 2024г.</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роки выполнения отдельных Этапов Работ определяются Календарным графиком выполнения Работ (</w:t>
      </w:r>
      <w:r>
        <w:rPr>
          <w:bCs/>
          <w:i/>
        </w:rPr>
        <w:t>Приложение № 2 к Договору</w:t>
      </w:r>
      <w:r>
        <w:rPr>
          <w:bCs/>
        </w:rPr>
        <w:t xml:space="preserve">) в рамках общих сроков, указанных в пункте 1.5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w:t>
      </w:r>
      <w:r>
        <w:rPr>
          <w:bCs/>
          <w:i/>
        </w:rPr>
        <w:t>Приложении № 1</w:t>
      </w:r>
      <w:r>
        <w:rPr>
          <w:bCs/>
        </w:rPr>
        <w:t xml:space="preserve"> к Договору.</w:t>
      </w:r>
    </w:p>
    <w:p>
      <w:pPr>
        <w:pStyle w:val="ListParagraph"/>
        <w:numPr>
          <w:ilvl w:val="0"/>
          <w:numId w:val="1"/>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1"/>
        </w:numPr>
        <w:shd w:val="clear" w:color="auto" w:fill="FFFFFF"/>
        <w:tabs>
          <w:tab w:val="clear" w:pos="708"/>
          <w:tab w:val="left" w:pos="1418" w:leader="none"/>
        </w:tabs>
        <w:ind w:left="0" w:firstLine="709"/>
        <w:jc w:val="both"/>
        <w:rPr/>
      </w:pPr>
      <w:bookmarkStart w:id="7" w:name="_Ref361401696"/>
      <w:bookmarkStart w:id="8" w:name="_Ref361320734"/>
      <w:bookmarkStart w:id="9" w:name="_Ref361396847"/>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t>место производства Работ, место (помещение) для складирования Материально-технических ресурсов по соответствующим актам сдачи-приемки (</w:t>
      </w:r>
      <w:r>
        <w:rPr>
          <w:i/>
        </w:rPr>
        <w:t>Приложение № 4.1 к Договору</w:t>
      </w:r>
      <w:r>
        <w:rPr/>
        <w:t>);</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содержащую исходные данные для выполнения Подрядчиком Работ по Договору, по Акту сдачи-приемки технической и иной документации (</w:t>
      </w:r>
      <w:r>
        <w:rPr>
          <w:bCs/>
          <w:i/>
        </w:rPr>
        <w:t>Приложение № 4.2 к Договору</w:t>
      </w:r>
      <w:r>
        <w:rPr>
          <w:bCs/>
        </w:rPr>
        <w:t>);</w:t>
      </w:r>
      <w:bookmarkEnd w:id="7"/>
      <w:bookmarkEnd w:id="8"/>
      <w:bookmarkEnd w:id="9"/>
      <w:r>
        <w:rPr/>
        <w:t xml:space="preserve"> </w:t>
      </w:r>
    </w:p>
    <w:p>
      <w:pPr>
        <w:pStyle w:val="ListParagraph"/>
        <w:numPr>
          <w:ilvl w:val="2"/>
          <w:numId w:val="1"/>
        </w:numPr>
        <w:shd w:val="clear" w:color="auto" w:fill="FFFFFF"/>
        <w:tabs>
          <w:tab w:val="clear" w:pos="708"/>
          <w:tab w:val="left" w:pos="1418" w:leader="none"/>
        </w:tabs>
        <w:ind w:left="0" w:firstLine="709"/>
        <w:jc w:val="both"/>
        <w:rPr/>
      </w:pPr>
      <w:r>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требованием (</w:t>
      </w:r>
      <w:r>
        <w:rPr>
          <w:i/>
        </w:rPr>
        <w:t>Приложение № 1 к Договору</w:t>
      </w:r>
      <w:r>
        <w:rPr/>
        <w:t xml:space="preserve">). </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1"/>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1"/>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1"/>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1"/>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1"/>
        </w:numPr>
        <w:shd w:val="clear" w:color="auto" w:fill="FFFFFF"/>
        <w:tabs>
          <w:tab w:val="clear" w:pos="708"/>
          <w:tab w:val="left" w:pos="1418" w:leader="none"/>
        </w:tabs>
        <w:ind w:left="0" w:firstLine="709"/>
        <w:jc w:val="both"/>
        <w:rPr>
          <w:bCs/>
        </w:rPr>
      </w:pPr>
      <w:bookmarkStart w:id="10"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bCs/>
        </w:rPr>
        <w:t xml:space="preserve"> </w:t>
      </w:r>
    </w:p>
    <w:p>
      <w:pPr>
        <w:pStyle w:val="ListParagraph"/>
        <w:numPr>
          <w:ilvl w:val="2"/>
          <w:numId w:val="1"/>
        </w:numPr>
        <w:shd w:val="clear" w:color="auto" w:fill="FFFFFF"/>
        <w:tabs>
          <w:tab w:val="clear" w:pos="708"/>
          <w:tab w:val="left" w:pos="1418" w:leader="none"/>
        </w:tabs>
        <w:ind w:left="0" w:firstLine="709"/>
        <w:jc w:val="both"/>
        <w:rPr>
          <w:bCs/>
        </w:rPr>
      </w:pPr>
      <w:bookmarkStart w:id="11" w:name="_Ref361334468"/>
      <w:bookmarkEnd w:id="11"/>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1"/>
        </w:numPr>
        <w:shd w:val="clear" w:color="auto" w:fill="FFFFFF"/>
        <w:tabs>
          <w:tab w:val="clear" w:pos="708"/>
          <w:tab w:val="left" w:pos="1418" w:leader="none"/>
        </w:tabs>
        <w:ind w:left="0" w:firstLine="709"/>
        <w:jc w:val="both"/>
        <w:rPr>
          <w:bCs/>
        </w:rPr>
      </w:pPr>
      <w:bookmarkStart w:id="12" w:name="_Ref361319348"/>
      <w:r>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bCs/>
        </w:rPr>
        <w:t xml:space="preserve"> </w:t>
      </w:r>
    </w:p>
    <w:p>
      <w:pPr>
        <w:pStyle w:val="ListParagraph"/>
        <w:numPr>
          <w:ilvl w:val="2"/>
          <w:numId w:val="1"/>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1"/>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ind w:left="0" w:firstLine="709"/>
        <w:jc w:val="both"/>
        <w:rPr>
          <w:bCs/>
        </w:rPr>
      </w:pPr>
      <w:r>
        <w:rPr>
          <w:bCs/>
        </w:rPr>
        <w:t>2.2.8. В случае нарушения Подрядчиком п.2.3.10 настоящего договора Заказчик имеет право:</w:t>
      </w:r>
    </w:p>
    <w:p>
      <w:pPr>
        <w:pStyle w:val="ListParagraph"/>
        <w:ind w:left="0" w:firstLine="709"/>
        <w:jc w:val="both"/>
        <w:rPr>
          <w:bCs/>
        </w:rPr>
      </w:pPr>
      <w:r>
        <w:rPr>
          <w:bCs/>
        </w:rPr>
        <w:t>-о</w:t>
      </w:r>
      <w:r>
        <w:rPr/>
        <w:t xml:space="preserve">тказать в допуске к работам </w:t>
      </w:r>
      <w:r>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ListParagraph"/>
        <w:ind w:left="0" w:firstLine="709"/>
        <w:jc w:val="both"/>
        <w:rPr>
          <w:bCs/>
        </w:rPr>
      </w:pPr>
      <w:r>
        <w:rPr>
          <w:bCs/>
        </w:rPr>
        <w:t>либо</w:t>
      </w:r>
    </w:p>
    <w:p>
      <w:pPr>
        <w:pStyle w:val="ListParagraph"/>
        <w:ind w:left="0" w:firstLine="709"/>
        <w:jc w:val="both"/>
        <w:rPr/>
      </w:pPr>
      <w:r>
        <w:rPr>
          <w:bCs/>
        </w:rPr>
        <w:t>- допустить работников Подрядчика к работам в соответствии с п.2.1.8</w:t>
      </w:r>
      <w:r>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1"/>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1"/>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1"/>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5"/>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 по соответствующим актам сдачи-приемки (</w:t>
      </w:r>
      <w:r>
        <w:rPr>
          <w:bCs/>
          <w:i/>
        </w:rPr>
        <w:t>Приложение № 4.1 к Договору</w:t>
      </w:r>
      <w:r>
        <w:rPr>
          <w:bCs/>
        </w:rPr>
        <w:t>);</w:t>
      </w:r>
    </w:p>
    <w:p>
      <w:pPr>
        <w:pStyle w:val="ListParagraph"/>
        <w:numPr>
          <w:ilvl w:val="0"/>
          <w:numId w:val="15"/>
        </w:numPr>
        <w:shd w:val="clear" w:color="auto" w:fill="FFFFFF"/>
        <w:tabs>
          <w:tab w:val="clear" w:pos="708"/>
          <w:tab w:val="left" w:pos="1418" w:leader="none"/>
        </w:tabs>
        <w:ind w:left="0" w:firstLine="709"/>
        <w:jc w:val="both"/>
        <w:rPr/>
      </w:pPr>
      <w:r>
        <w:rPr>
          <w:bCs/>
        </w:rPr>
        <w:t>техническую и иную документацию, указанную в Техническом требовании (</w:t>
      </w:r>
      <w:r>
        <w:rPr>
          <w:bCs/>
          <w:i/>
        </w:rPr>
        <w:t>Приложение № 1 к Договору</w:t>
      </w:r>
      <w:r>
        <w:rPr>
          <w:bCs/>
        </w:rPr>
        <w:t>) по Акту сдачи-приемки технической и иной документации (</w:t>
      </w:r>
      <w:r>
        <w:rPr>
          <w:bCs/>
          <w:i/>
        </w:rPr>
        <w:t>Приложение № 4.2 к Договору</w:t>
      </w:r>
      <w:r>
        <w:rPr>
          <w:bCs/>
        </w:rPr>
        <w:t xml:space="preserve">); </w:t>
      </w:r>
    </w:p>
    <w:p>
      <w:pPr>
        <w:pStyle w:val="ListParagraph"/>
        <w:numPr>
          <w:ilvl w:val="2"/>
          <w:numId w:val="1"/>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1"/>
        </w:numPr>
        <w:shd w:val="clear" w:color="auto" w:fill="FFFFFF"/>
        <w:tabs>
          <w:tab w:val="clear" w:pos="708"/>
          <w:tab w:val="left" w:pos="1418" w:leader="none"/>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Pr>
          <w:bCs/>
          <w:i/>
        </w:rPr>
        <w:t>Приложение № 4.2 к Договору</w:t>
      </w:r>
      <w:r>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1"/>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1"/>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w:t>
      </w:r>
      <w:r>
        <w:rPr>
          <w:b/>
          <w:i/>
        </w:rPr>
        <w:t>Приложение № 4.1 к Договору</w:t>
      </w:r>
      <w:r>
        <w:rPr>
          <w:b/>
        </w:rPr>
        <w:t>) в соответствии с пунктами 2.1.2 и 2.1.3 Договора.</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14 Договора, – не позднее 3 (трех) рабочих дней с даты получения соответствующего требования Заказчика. </w:t>
      </w:r>
    </w:p>
    <w:p>
      <w:pPr>
        <w:pStyle w:val="ListParagraph"/>
        <w:numPr>
          <w:ilvl w:val="2"/>
          <w:numId w:val="1"/>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в том числе указанных в </w:t>
      </w:r>
      <w:r>
        <w:rPr>
          <w:bCs/>
          <w:i/>
        </w:rPr>
        <w:t>Приложении №5</w:t>
      </w:r>
      <w:r>
        <w:rPr>
          <w:bCs/>
        </w:rPr>
        <w:t xml:space="preserve">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1"/>
        </w:numPr>
        <w:shd w:val="clear" w:color="auto" w:fill="FFFFFF"/>
        <w:tabs>
          <w:tab w:val="clear" w:pos="708"/>
          <w:tab w:val="left" w:pos="1418" w:leader="none"/>
        </w:tabs>
        <w:ind w:left="0" w:firstLine="709"/>
        <w:jc w:val="both"/>
        <w:rPr/>
      </w:pPr>
      <w:r>
        <w:rPr/>
        <w:t>Обеспечить:</w:t>
      </w:r>
    </w:p>
    <w:p>
      <w:pPr>
        <w:pStyle w:val="ListParagraph"/>
        <w:numPr>
          <w:ilvl w:val="0"/>
          <w:numId w:val="12"/>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FootnoteReference"/>
          <w:bCs/>
        </w:rPr>
        <w:footnoteReference w:id="2"/>
      </w:r>
      <w:r>
        <w:rPr>
          <w:bCs/>
        </w:rPr>
        <w:t>);</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2"/>
        </w:numPr>
        <w:tabs>
          <w:tab w:val="clear" w:pos="708"/>
          <w:tab w:val="left" w:pos="567" w:leader="none"/>
        </w:tabs>
        <w:ind w:left="0" w:firstLine="709"/>
        <w:jc w:val="both"/>
        <w:rPr>
          <w:bCs/>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1"/>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shd w:val="clear" w:color="auto" w:fill="FFFFFF"/>
        <w:tabs>
          <w:tab w:val="clear" w:pos="708"/>
          <w:tab w:val="left" w:pos="709" w:leader="none"/>
          <w:tab w:val="left" w:pos="1418" w:leader="none"/>
        </w:tabs>
        <w:ind w:left="0" w:firstLine="709"/>
        <w:jc w:val="both"/>
        <w:rPr>
          <w:bCs/>
        </w:rPr>
      </w:pPr>
      <w:r>
        <w:rPr/>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ListParagraph"/>
        <w:shd w:val="clear" w:color="auto" w:fill="FFFFFF"/>
        <w:tabs>
          <w:tab w:val="clear" w:pos="708"/>
          <w:tab w:val="left" w:pos="1418" w:leader="none"/>
        </w:tabs>
        <w:ind w:left="0" w:firstLine="709"/>
        <w:jc w:val="both"/>
        <w:rPr>
          <w:bCs/>
        </w:rPr>
      </w:pPr>
      <w:r>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1"/>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1"/>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1"/>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1"/>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1"/>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1"/>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1"/>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1"/>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1"/>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1"/>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1"/>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1"/>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1"/>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ind w:left="0" w:right="23" w:firstLine="709"/>
        <w:jc w:val="both"/>
        <w:rPr/>
      </w:pPr>
      <w:r>
        <w:rPr/>
        <w:t>аварии – в течение 2 (двух) часов;</w:t>
      </w:r>
    </w:p>
    <w:p>
      <w:pPr>
        <w:pStyle w:val="ListParagraph"/>
        <w:numPr>
          <w:ilvl w:val="0"/>
          <w:numId w:val="13"/>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3"/>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3"/>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3"/>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1"/>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w:t>
      </w:r>
      <w:r>
        <w:rPr>
          <w:i/>
        </w:rPr>
        <w:t>Приложения №№ 4.1 к Договору</w:t>
      </w:r>
      <w:r>
        <w:rPr/>
        <w:t>).</w:t>
      </w:r>
    </w:p>
    <w:p>
      <w:pPr>
        <w:pStyle w:val="ListParagraph"/>
        <w:numPr>
          <w:ilvl w:val="2"/>
          <w:numId w:val="1"/>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1"/>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1"/>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1"/>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1"/>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1"/>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6"/>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6"/>
        </w:numPr>
        <w:shd w:val="clear" w:color="auto" w:fill="FFFFFF"/>
        <w:tabs>
          <w:tab w:val="clear" w:pos="708"/>
          <w:tab w:val="left" w:pos="709" w:leader="none"/>
        </w:tabs>
        <w:ind w:left="0" w:firstLine="709"/>
        <w:jc w:val="both"/>
        <w:rPr>
          <w:bCs/>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0"/>
          <w:numId w:val="16"/>
        </w:numPr>
        <w:tabs>
          <w:tab w:val="clear" w:pos="708"/>
          <w:tab w:val="left" w:pos="709" w:leader="none"/>
          <w:tab w:val="left" w:pos="851" w:leader="none"/>
        </w:tabs>
        <w:ind w:left="0" w:firstLine="709"/>
        <w:jc w:val="both"/>
        <w:rPr>
          <w:bCs/>
        </w:rPr>
      </w:pPr>
      <w:r>
        <w:rPr>
          <w:bCs/>
        </w:rPr>
        <w:t xml:space="preserve">справку по форме </w:t>
      </w:r>
      <w:r>
        <w:rPr>
          <w:bCs/>
          <w:i/>
        </w:rPr>
        <w:t>Приложение №7</w:t>
      </w:r>
      <w:r>
        <w:rPr>
          <w:bCs/>
        </w:rPr>
        <w:t xml:space="preserve"> к Договору (в случае привлечения Субподрядчика, соответствующего критериям МСП).</w:t>
      </w:r>
    </w:p>
    <w:p>
      <w:pPr>
        <w:pStyle w:val="ListParagraph"/>
        <w:numPr>
          <w:ilvl w:val="0"/>
          <w:numId w:val="1"/>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1"/>
        </w:numPr>
        <w:shd w:val="clear" w:color="auto" w:fill="FFFFFF"/>
        <w:tabs>
          <w:tab w:val="clear" w:pos="708"/>
          <w:tab w:val="left" w:pos="1134" w:leader="none"/>
        </w:tabs>
        <w:ind w:left="0" w:firstLine="709"/>
        <w:jc w:val="both"/>
        <w:rPr>
          <w:bCs/>
        </w:rPr>
      </w:pPr>
      <w:bookmarkStart w:id="13" w:name="_Ref361335465"/>
      <w:r>
        <w:rPr>
          <w:bCs/>
        </w:rPr>
        <w:t xml:space="preserve">Цена </w:t>
      </w:r>
      <w:r>
        <w:rPr/>
        <w:t xml:space="preserve">Договора </w:t>
      </w:r>
      <w:r>
        <w:rPr>
          <w:bCs/>
        </w:rPr>
        <w:t>в соответствии со Сводным сметным расчетом</w:t>
      </w:r>
      <w:r>
        <w:rPr/>
        <w:t xml:space="preserve"> /</w:t>
      </w:r>
      <w:r>
        <w:rPr>
          <w:bCs/>
        </w:rPr>
        <w:t xml:space="preserve"> Объектным сметным расчетом с приложениями (</w:t>
      </w:r>
      <w:r>
        <w:rPr>
          <w:bCs/>
          <w:i/>
        </w:rPr>
        <w:t>Приложение № 3 к Договору</w:t>
      </w:r>
      <w:r>
        <w:rPr>
          <w:bCs/>
        </w:rPr>
        <w:t xml:space="preserve">) является твердой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Pr/>
        <w:t>– «НК РФ»)</w:t>
      </w:r>
      <w:bookmarkEnd w:id="13"/>
      <w:r>
        <w:rPr>
          <w:bCs/>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1"/>
        </w:numPr>
        <w:shd w:val="clear" w:color="auto" w:fill="FFFFFF"/>
        <w:tabs>
          <w:tab w:val="clear" w:pos="708"/>
          <w:tab w:val="left" w:pos="1418" w:leader="none"/>
        </w:tabs>
        <w:ind w:left="0" w:firstLine="709"/>
        <w:jc w:val="both"/>
        <w:rPr>
          <w:bCs/>
        </w:rPr>
      </w:pPr>
      <w:r>
        <w:rPr>
          <w:bCs/>
        </w:rPr>
        <w:t>выполнение ремонтных работ;</w:t>
      </w:r>
    </w:p>
    <w:p>
      <w:pPr>
        <w:pStyle w:val="ListParagraph"/>
        <w:numPr>
          <w:ilvl w:val="2"/>
          <w:numId w:val="1"/>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1"/>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1"/>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1"/>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14" w:name="_Ref361858588"/>
      <w:bookmarkStart w:id="15" w:name="_Ref361834675"/>
      <w:r>
        <w:rPr>
          <w:bCs/>
        </w:rPr>
        <w:t>Оплата по Договору осуществляется Заказчиком в следующем порядке:</w:t>
      </w:r>
      <w:bookmarkEnd w:id="14"/>
      <w:bookmarkEnd w:id="15"/>
      <w:r>
        <w:rPr>
          <w:bCs/>
        </w:rPr>
        <w:t xml:space="preserve"> </w:t>
      </w:r>
    </w:p>
    <w:p>
      <w:pPr>
        <w:pStyle w:val="ListParagraph"/>
        <w:numPr>
          <w:ilvl w:val="2"/>
          <w:numId w:val="1"/>
        </w:numPr>
        <w:shd w:val="clear" w:color="auto" w:fill="FFFFFF"/>
        <w:tabs>
          <w:tab w:val="clear" w:pos="708"/>
          <w:tab w:val="left" w:pos="1276" w:leader="none"/>
          <w:tab w:val="left" w:pos="1418" w:leader="none"/>
        </w:tabs>
        <w:ind w:left="0" w:firstLine="709"/>
        <w:jc w:val="both"/>
        <w:rPr/>
      </w:pPr>
      <w:bookmarkStart w:id="16" w:name="_Ref361335023"/>
      <w:bookmarkEnd w:id="16"/>
      <w:r>
        <w:rPr/>
        <w:t>Платежи в размере 100% (ста процентов) от стоимости Работ выплачиваются в течение 20 (двадцати) календарных дней / 7 (сем</w:t>
      </w:r>
      <w:r>
        <w:rPr/>
        <w:t>и)</w:t>
      </w:r>
      <w:r>
        <w:rPr/>
        <w:t xml:space="preserve"> рабочих дней </w:t>
      </w:r>
      <w:r>
        <w:rPr/>
        <w:t>(е</w:t>
      </w:r>
      <w:r>
        <w:rPr/>
        <w:t>сли победителем закупки будет субъект МСП</w:t>
      </w:r>
      <w:r>
        <w:rPr/>
        <w:t>)</w:t>
      </w:r>
      <w:r>
        <w:rPr/>
        <w:t xml:space="preserve"> с даты подписания Сторонами документов, указанных в пункте 4.1 Договора, на основании счёта, выставленного Подрядчиком, и с учетом пункта 3.4.2 Договора.  </w:t>
      </w:r>
    </w:p>
    <w:p>
      <w:pPr>
        <w:pStyle w:val="ListParagraph"/>
        <w:numPr>
          <w:ilvl w:val="2"/>
          <w:numId w:val="1"/>
        </w:numPr>
        <w:shd w:val="clear" w:color="auto" w:fill="FFFFFF"/>
        <w:tabs>
          <w:tab w:val="clear" w:pos="708"/>
          <w:tab w:val="left" w:pos="1276" w:leader="none"/>
          <w:tab w:val="left" w:pos="1418" w:leader="none"/>
        </w:tabs>
        <w:ind w:left="0" w:firstLine="709"/>
        <w:jc w:val="both"/>
        <w:rPr/>
      </w:pPr>
      <w:bookmarkStart w:id="17" w:name="_Ref361834178"/>
      <w:bookmarkEnd w:id="17"/>
      <w:r>
        <w:rPr/>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18" w:name="_Ref361336647"/>
      <w:bookmarkEnd w:id="18"/>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1"/>
        </w:numPr>
        <w:shd w:val="clear" w:color="auto" w:fill="FFFFFF"/>
        <w:tabs>
          <w:tab w:val="clear" w:pos="708"/>
          <w:tab w:val="left" w:pos="1134" w:leader="none"/>
        </w:tabs>
        <w:ind w:left="0" w:firstLine="709"/>
        <w:jc w:val="both"/>
        <w:rPr>
          <w:bCs/>
        </w:rPr>
      </w:pPr>
      <w:r>
        <w:rPr/>
        <w:t>Оплата непредвиденных работ и затрат</w:t>
      </w:r>
      <w:r>
        <w:rPr>
          <w:rStyle w:val="FootnoteReference"/>
        </w:rPr>
        <w:footnoteReference w:id="3"/>
      </w:r>
      <w:r>
        <w:rPr/>
        <w:t xml:space="preserve"> осуществляется Заказчиком в следующем порядке</w:t>
      </w:r>
      <w:r>
        <w:rPr>
          <w:bCs/>
        </w:rPr>
        <w:t>:</w:t>
      </w:r>
    </w:p>
    <w:p>
      <w:pPr>
        <w:pStyle w:val="ListParagraph"/>
        <w:numPr>
          <w:ilvl w:val="2"/>
          <w:numId w:val="1"/>
        </w:numPr>
        <w:shd w:val="clear" w:color="auto" w:fill="FFFFFF"/>
        <w:tabs>
          <w:tab w:val="clear" w:pos="708"/>
          <w:tab w:val="left" w:pos="1418" w:leader="none"/>
        </w:tabs>
        <w:ind w:left="0" w:firstLine="709"/>
        <w:jc w:val="both"/>
        <w:rPr/>
      </w:pPr>
      <w: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 Объектным сметным расчетом</w:t>
      </w:r>
      <w:r>
        <w:rPr/>
        <w:t xml:space="preserve"> </w:t>
      </w:r>
      <w:r>
        <w:rPr>
          <w:bCs/>
        </w:rPr>
        <w:t>с приложениями</w:t>
      </w:r>
      <w:r>
        <w:rPr/>
        <w:t xml:space="preserve">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20 (двадцати) календарных дней / 7 (сем</w:t>
      </w:r>
      <w:r>
        <w:rPr/>
        <w:t>и)</w:t>
      </w:r>
      <w:r>
        <w:rPr/>
        <w:t xml:space="preserve"> рабочих дней </w:t>
      </w:r>
      <w:r>
        <w:rPr/>
        <w:t>(е</w:t>
      </w:r>
      <w:r>
        <w:rPr/>
        <w:t>сли победителем закупки будет субъект МСП</w:t>
      </w:r>
      <w:r>
        <w:rPr/>
        <w:t>)</w:t>
      </w:r>
      <w:r>
        <w:rPr/>
        <w:t xml:space="preserve"> с даты подписания Акта КС-2 и Справки КС-3 на основании счета, выставленного Подрядчиком.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pPr>
        <w:pStyle w:val="ListParagraph"/>
        <w:numPr>
          <w:ilvl w:val="1"/>
          <w:numId w:val="1"/>
        </w:numPr>
        <w:shd w:val="clear" w:color="auto" w:fill="FFFFFF"/>
        <w:tabs>
          <w:tab w:val="clear" w:pos="708"/>
          <w:tab w:val="left" w:pos="1134" w:leader="none"/>
        </w:tabs>
        <w:ind w:left="0" w:firstLine="709"/>
        <w:jc w:val="both"/>
        <w:rPr/>
      </w:pPr>
      <w:r>
        <w:rPr/>
        <w:t>Командировочные расходы включаются в стоимость Этапов Работ в соответствии с расчетом, прилагаемым к Сводному сметному расчету /</w:t>
      </w:r>
      <w:r>
        <w:rPr>
          <w:bCs/>
        </w:rPr>
        <w:t xml:space="preserve"> Объектному сметному расчету</w:t>
      </w:r>
      <w:r>
        <w:rPr/>
        <w:t xml:space="preserve"> </w:t>
      </w:r>
      <w:r>
        <w:rPr>
          <w:bCs/>
        </w:rPr>
        <w:t>с приложениями</w:t>
      </w:r>
      <w:r>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numPr>
          <w:ilvl w:val="1"/>
          <w:numId w:val="1"/>
        </w:numPr>
        <w:shd w:val="clear" w:color="auto" w:fill="FFFFFF"/>
        <w:tabs>
          <w:tab w:val="clear" w:pos="708"/>
          <w:tab w:val="left" w:pos="1134" w:leader="none"/>
        </w:tabs>
        <w:ind w:left="0" w:firstLine="709"/>
        <w:jc w:val="both"/>
        <w:rPr>
          <w:bCs/>
        </w:rPr>
      </w:pPr>
      <w:bookmarkStart w:id="19" w:name="_Ref3613350231"/>
      <w:bookmarkEnd w:id="19"/>
      <w:r>
        <w:rPr>
          <w:bCs/>
        </w:rPr>
        <w:t>Индексация Цены Договора не допускается.</w:t>
      </w:r>
    </w:p>
    <w:p>
      <w:pPr>
        <w:pStyle w:val="ListParagraph"/>
        <w:numPr>
          <w:ilvl w:val="1"/>
          <w:numId w:val="1"/>
        </w:numPr>
        <w:shd w:val="clear" w:color="auto" w:fill="FFFFFF"/>
        <w:tabs>
          <w:tab w:val="clear" w:pos="708"/>
          <w:tab w:val="left" w:pos="1134" w:leader="none"/>
        </w:tabs>
        <w:ind w:left="0" w:firstLine="709"/>
        <w:jc w:val="both"/>
        <w:rPr>
          <w:bCs/>
        </w:rPr>
      </w:pPr>
      <w:bookmarkStart w:id="20" w:name="_Ref361834251"/>
      <w:bookmarkEnd w:id="20"/>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pPr>
        <w:pStyle w:val="ListParagraph"/>
        <w:numPr>
          <w:ilvl w:val="0"/>
          <w:numId w:val="1"/>
        </w:numPr>
        <w:shd w:val="clear" w:color="auto" w:fill="FFFFFF"/>
        <w:tabs>
          <w:tab w:val="clear" w:pos="708"/>
          <w:tab w:val="left" w:pos="284" w:leader="none"/>
        </w:tabs>
        <w:ind w:left="0" w:hanging="0"/>
        <w:jc w:val="center"/>
        <w:rPr>
          <w:b/>
          <w:bCs/>
        </w:rPr>
      </w:pPr>
      <w:r>
        <w:rPr>
          <w:b/>
          <w:bCs/>
        </w:rPr>
        <w:t>Порядок сдачи-приемки Работ</w:t>
      </w:r>
    </w:p>
    <w:p>
      <w:pPr>
        <w:pStyle w:val="ListParagraph"/>
        <w:numPr>
          <w:ilvl w:val="1"/>
          <w:numId w:val="1"/>
        </w:numPr>
        <w:shd w:val="clear" w:color="auto" w:fill="FFFFFF"/>
        <w:tabs>
          <w:tab w:val="clear" w:pos="708"/>
          <w:tab w:val="left" w:pos="1134" w:leader="none"/>
        </w:tabs>
        <w:ind w:left="0" w:firstLine="709"/>
        <w:jc w:val="both"/>
        <w:rPr/>
      </w:pPr>
      <w:bookmarkStart w:id="21" w:name="_Ref361336865"/>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4"/>
        </w:numPr>
        <w:shd w:val="clear" w:color="auto" w:fill="FFFFFF"/>
        <w:tabs>
          <w:tab w:val="clear" w:pos="708"/>
          <w:tab w:val="left" w:pos="1418" w:leader="none"/>
        </w:tabs>
        <w:ind w:left="0" w:firstLine="709"/>
        <w:jc w:val="both"/>
        <w:rPr/>
      </w:pPr>
      <w:r>
        <w:rPr/>
        <w:t>Акт КС-2, Справку КС-3 в отношении Объекта</w:t>
      </w:r>
      <w:r>
        <w:rPr>
          <w:bCs/>
        </w:rPr>
        <w:t xml:space="preserve"> н</w:t>
      </w:r>
      <w:r>
        <w:rPr/>
        <w:t>а весь объем выполненных работ по Объекту в 2 (двух) экземплярах</w:t>
      </w:r>
      <w:r>
        <w:rPr>
          <w:bCs/>
        </w:rPr>
        <w:t xml:space="preserve"> с приложением Приемо-сдаточной и Исполнительной документации </w:t>
      </w:r>
      <w:r>
        <w:rPr/>
        <w:t xml:space="preserve">в 3 (трех) экземплярах; </w:t>
      </w:r>
    </w:p>
    <w:p>
      <w:pPr>
        <w:pStyle w:val="ListParagraph"/>
        <w:numPr>
          <w:ilvl w:val="0"/>
          <w:numId w:val="14"/>
        </w:numPr>
        <w:shd w:val="clear" w:color="auto" w:fill="FFFFFF"/>
        <w:tabs>
          <w:tab w:val="clear" w:pos="708"/>
          <w:tab w:val="left" w:pos="1418" w:leader="none"/>
        </w:tabs>
        <w:ind w:left="0" w:firstLine="709"/>
        <w:jc w:val="both"/>
        <w:rPr/>
      </w:pPr>
      <w:r>
        <w:rPr/>
        <w:t>Акт</w:t>
      </w:r>
      <w:r>
        <w:rPr>
          <w:bCs/>
        </w:rPr>
        <w:t xml:space="preserve"> ОС-3 в 2 (двух) экземплярах</w:t>
      </w:r>
      <w:bookmarkEnd w:id="21"/>
      <w:r>
        <w:rPr/>
        <w:t>.</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
        </w:numPr>
        <w:shd w:val="clear" w:color="auto" w:fill="FFFFFF"/>
        <w:tabs>
          <w:tab w:val="clear" w:pos="708"/>
          <w:tab w:val="left" w:pos="1134" w:leader="none"/>
        </w:tabs>
        <w:ind w:left="0" w:firstLine="709"/>
        <w:jc w:val="both"/>
        <w:rPr>
          <w:bCs/>
        </w:rPr>
      </w:pPr>
      <w:bookmarkStart w:id="22" w:name="_Ref361337635"/>
      <w:bookmarkEnd w:id="22"/>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0"/>
          <w:numId w:val="1"/>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1"/>
        </w:numPr>
        <w:shd w:val="clear" w:color="auto" w:fill="FFFFFF"/>
        <w:tabs>
          <w:tab w:val="clear" w:pos="708"/>
          <w:tab w:val="left" w:pos="1134" w:leader="none"/>
        </w:tabs>
        <w:ind w:left="0" w:firstLine="709"/>
        <w:jc w:val="both"/>
        <w:rPr>
          <w:bCs/>
        </w:rPr>
      </w:pPr>
      <w:bookmarkStart w:id="23"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t>КС-2</w:t>
      </w:r>
      <w:bookmarkEnd w:id="23"/>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p>
    <w:p>
      <w:pPr>
        <w:pStyle w:val="ListParagraph"/>
        <w:numPr>
          <w:ilvl w:val="0"/>
          <w:numId w:val="1"/>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
        </w:numPr>
        <w:tabs>
          <w:tab w:val="clear" w:pos="708"/>
          <w:tab w:val="left" w:pos="1134" w:leader="none"/>
        </w:tabs>
        <w:spacing w:lineRule="auto" w:line="240"/>
        <w:ind w:left="0" w:firstLine="709"/>
        <w:rPr>
          <w:bCs/>
          <w:sz w:val="24"/>
          <w:szCs w:val="24"/>
        </w:rPr>
      </w:pPr>
      <w:r>
        <w:rPr>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1"/>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w:t>
      </w:r>
      <w:r>
        <w:rPr>
          <w:sz w:val="24"/>
          <w:szCs w:val="24"/>
        </w:rPr>
        <w:t>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1"/>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Pr>
          <w:i/>
          <w:sz w:val="24"/>
          <w:szCs w:val="24"/>
        </w:rPr>
        <w:t>Приложение № 2 к Договору</w:t>
      </w:r>
      <w:r>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Normal"/>
        <w:widowControl w:val="false"/>
        <w:tabs>
          <w:tab w:val="clear" w:pos="708"/>
          <w:tab w:val="left" w:pos="6300" w:leader="none"/>
        </w:tabs>
        <w:spacing w:lineRule="auto" w:line="240"/>
        <w:ind w:firstLine="709"/>
        <w:rPr>
          <w:sz w:val="24"/>
        </w:rPr>
      </w:pPr>
      <w:r>
        <w:rPr>
          <w:sz w:val="24"/>
        </w:rPr>
        <w:t xml:space="preserve">6.4.1. </w:t>
      </w:r>
      <w:r>
        <w:rPr>
          <w:sz w:val="24"/>
          <w:szCs w:val="24"/>
        </w:rPr>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p>
    <w:p>
      <w:pPr>
        <w:pStyle w:val="Normal"/>
        <w:widowControl w:val="false"/>
        <w:tabs>
          <w:tab w:val="clear" w:pos="708"/>
          <w:tab w:val="left" w:pos="6300" w:leader="none"/>
        </w:tabs>
        <w:spacing w:lineRule="auto" w:line="240"/>
        <w:ind w:firstLine="709"/>
        <w:rPr>
          <w:sz w:val="24"/>
        </w:rPr>
      </w:pPr>
      <w:r>
        <w:rPr>
          <w:sz w:val="24"/>
        </w:rPr>
        <w:t xml:space="preserve">6.4.2. </w:t>
      </w:r>
      <w:r>
        <w:rPr>
          <w:sz w:val="24"/>
          <w:szCs w:val="24"/>
        </w:rPr>
        <w:t xml:space="preserve">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pPr>
        <w:pStyle w:val="Normal"/>
        <w:widowControl w:val="false"/>
        <w:tabs>
          <w:tab w:val="clear" w:pos="708"/>
          <w:tab w:val="left" w:pos="6300" w:leader="none"/>
        </w:tabs>
        <w:spacing w:lineRule="auto" w:line="240"/>
        <w:ind w:firstLine="709"/>
        <w:rPr>
          <w:sz w:val="24"/>
        </w:rPr>
      </w:pPr>
      <w:r>
        <w:rPr>
          <w:sz w:val="24"/>
        </w:rPr>
        <w:t xml:space="preserve">6.4.3. </w:t>
      </w:r>
      <w:r>
        <w:rPr>
          <w:sz w:val="24"/>
          <w:szCs w:val="24"/>
        </w:rPr>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p>
    <w:p>
      <w:pPr>
        <w:pStyle w:val="Normal"/>
        <w:widowControl w:val="false"/>
        <w:numPr>
          <w:ilvl w:val="1"/>
          <w:numId w:val="1"/>
        </w:numPr>
        <w:shd w:val="clear" w:color="auto" w:fill="FFFFFF"/>
        <w:tabs>
          <w:tab w:val="clear" w:pos="708"/>
          <w:tab w:val="left" w:pos="1134" w:leader="none"/>
        </w:tabs>
        <w:spacing w:lineRule="auto" w:line="240"/>
        <w:ind w:left="0" w:firstLine="709"/>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штрафной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Pr>
          <w:bCs/>
          <w:i/>
        </w:rPr>
        <w:t>Приложением № 6</w:t>
      </w:r>
      <w:r>
        <w:rPr>
          <w:bCs/>
        </w:rPr>
        <w:t xml:space="preserve"> к Договору. </w:t>
      </w:r>
    </w:p>
    <w:p>
      <w:pPr>
        <w:pStyle w:val="ListParagraph"/>
        <w:numPr>
          <w:ilvl w:val="1"/>
          <w:numId w:val="1"/>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1"/>
        </w:numPr>
        <w:shd w:val="clear" w:color="auto" w:fill="FFFFFF"/>
        <w:tabs>
          <w:tab w:val="clear" w:pos="708"/>
          <w:tab w:val="left" w:pos="993" w:leader="none"/>
          <w:tab w:val="left" w:pos="1134" w:leader="none"/>
        </w:tabs>
        <w:ind w:left="0" w:firstLine="709"/>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Normal"/>
        <w:shd w:val="clear" w:color="auto" w:fill="FFFFFF"/>
        <w:tabs>
          <w:tab w:val="clear" w:pos="708"/>
          <w:tab w:val="left" w:pos="993" w:leader="none"/>
          <w:tab w:val="left" w:pos="1134" w:leader="none"/>
        </w:tabs>
        <w:spacing w:lineRule="auto" w:line="240"/>
        <w:ind w:firstLine="709"/>
        <w:rPr>
          <w:bCs/>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numPr>
          <w:ilvl w:val="1"/>
          <w:numId w:val="1"/>
        </w:numPr>
        <w:shd w:val="clear" w:color="auto" w:fill="FFFFFF"/>
        <w:tabs>
          <w:tab w:val="clear" w:pos="708"/>
          <w:tab w:val="left" w:pos="993" w:leader="none"/>
          <w:tab w:val="left" w:pos="1134" w:leader="none"/>
        </w:tabs>
        <w:ind w:left="0" w:firstLine="709"/>
        <w:jc w:val="both"/>
        <w:rPr/>
      </w:pPr>
      <w:r>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0"/>
          <w:numId w:val="1"/>
        </w:numPr>
        <w:shd w:val="clear" w:color="auto" w:fill="FFFFFF"/>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1"/>
        </w:numPr>
        <w:tabs>
          <w:tab w:val="clear" w:pos="708"/>
          <w:tab w:val="left" w:pos="1134" w:leader="none"/>
        </w:tabs>
        <w:spacing w:lineRule="auto" w:line="240"/>
        <w:ind w:left="0" w:firstLine="709"/>
        <w:rPr>
          <w:bCs/>
          <w:sz w:val="24"/>
          <w:szCs w:val="24"/>
        </w:rPr>
      </w:pPr>
      <w:bookmarkStart w:id="24" w:name="_Ref361337777"/>
      <w:r>
        <w:rPr>
          <w:sz w:val="24"/>
          <w:szCs w:val="24"/>
        </w:rPr>
        <w:t>Гарантийный</w:t>
      </w:r>
      <w:r>
        <w:rPr>
          <w:bCs/>
          <w:sz w:val="24"/>
          <w:szCs w:val="24"/>
        </w:rPr>
        <w:t xml:space="preserve"> срок по Договору составляет </w:t>
      </w:r>
      <w:r>
        <w:rPr>
          <w:sz w:val="24"/>
          <w:szCs w:val="24"/>
        </w:rPr>
        <w:t xml:space="preserve">24 </w:t>
      </w:r>
      <w:r>
        <w:rPr>
          <w:bCs/>
          <w:sz w:val="24"/>
          <w:szCs w:val="24"/>
        </w:rPr>
        <w:t>(двадцать четыре)</w:t>
      </w:r>
      <w:r>
        <w:rPr>
          <w:sz w:val="24"/>
          <w:szCs w:val="24"/>
        </w:rPr>
        <w:t xml:space="preserve"> месяца</w:t>
      </w:r>
      <w:r>
        <w:rPr>
          <w:bCs/>
          <w:sz w:val="24"/>
          <w:szCs w:val="24"/>
        </w:rPr>
        <w:t xml:space="preserve"> и начинает течь с даты подписания Сторонами А</w:t>
      </w:r>
      <w:r>
        <w:rPr>
          <w:sz w:val="24"/>
          <w:szCs w:val="24"/>
        </w:rPr>
        <w:t>кта КС-2</w:t>
      </w:r>
      <w:r>
        <w:rPr>
          <w:bCs/>
          <w:sz w:val="24"/>
          <w:szCs w:val="24"/>
        </w:rPr>
        <w:t xml:space="preserve"> </w:t>
      </w:r>
      <w:bookmarkEnd w:id="24"/>
      <w:r>
        <w:rPr>
          <w:bCs/>
          <w:sz w:val="24"/>
          <w:szCs w:val="24"/>
        </w:rPr>
        <w:t xml:space="preserve">по Объекту либо с даты прекращения (расторжения) Договора. Гарантийный срок может быть продлен в соответствии с условиями Договора. </w:t>
      </w:r>
    </w:p>
    <w:p>
      <w:pPr>
        <w:pStyle w:val="ListParagraph"/>
        <w:numPr>
          <w:ilvl w:val="1"/>
          <w:numId w:val="1"/>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1"/>
        </w:numPr>
        <w:shd w:val="clear" w:color="auto" w:fill="FFFFFF"/>
        <w:tabs>
          <w:tab w:val="clear" w:pos="708"/>
          <w:tab w:val="left" w:pos="1134" w:leader="none"/>
        </w:tabs>
        <w:ind w:left="0" w:firstLine="709"/>
        <w:jc w:val="both"/>
        <w:rPr>
          <w:bCs/>
        </w:rPr>
      </w:pPr>
      <w:bookmarkStart w:id="25"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bCs/>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6" w:name="OLE_LINK5"/>
      <w:bookmarkStart w:id="27" w:name="OLE_LINK6"/>
      <w:r>
        <w:rPr>
          <w:bCs/>
        </w:rPr>
        <w:t>Акте о недостатках, составленном в порядке, установленном пунктом 7.5 Договора</w:t>
      </w:r>
      <w:bookmarkEnd w:id="26"/>
      <w:bookmarkEnd w:id="27"/>
      <w:r>
        <w:rPr>
          <w:bCs/>
        </w:rPr>
        <w:t>.</w:t>
      </w:r>
      <w:r>
        <w:rPr/>
        <w:t xml:space="preserve">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1"/>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numPr>
          <w:ilvl w:val="0"/>
          <w:numId w:val="1"/>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numPr>
          <w:ilvl w:val="0"/>
          <w:numId w:val="1"/>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1"/>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2"/>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2"/>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2"/>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
        </w:numPr>
        <w:shd w:val="clear" w:color="auto" w:fill="FFFFFF"/>
        <w:tabs>
          <w:tab w:val="clear" w:pos="708"/>
          <w:tab w:val="left" w:pos="1134" w:leader="none"/>
        </w:tabs>
        <w:ind w:left="0" w:firstLine="709"/>
        <w:jc w:val="both"/>
        <w:rPr>
          <w:bCs/>
        </w:rPr>
      </w:pPr>
      <w:bookmarkStart w:id="28"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8"/>
      <w:r>
        <w:rPr>
          <w:bCs/>
        </w:rPr>
        <w:t xml:space="preserve">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bookmarkStart w:id="29" w:name="_Ref361337832"/>
      <w:bookmarkEnd w:id="29"/>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
        </w:numPr>
        <w:shd w:val="clear" w:color="auto" w:fill="FFFFFF"/>
        <w:tabs>
          <w:tab w:val="clear" w:pos="708"/>
          <w:tab w:val="left" w:pos="1276" w:leader="none"/>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
        </w:numPr>
        <w:shd w:val="clear" w:color="auto" w:fill="FFFFFF"/>
        <w:tabs>
          <w:tab w:val="clear" w:pos="708"/>
          <w:tab w:val="left" w:pos="1134" w:leader="none"/>
          <w:tab w:val="left" w:pos="1276" w:leader="none"/>
        </w:tabs>
        <w:ind w:left="0" w:firstLine="709"/>
        <w:jc w:val="both"/>
        <w:rPr>
          <w:bCs/>
        </w:rPr>
      </w:pPr>
      <w:bookmarkStart w:id="30" w:name="_Ref361337863"/>
      <w:bookmarkEnd w:id="30"/>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Normal"/>
        <w:numPr>
          <w:ilvl w:val="0"/>
          <w:numId w:val="1"/>
        </w:numPr>
        <w:shd w:val="clear" w:color="auto" w:fill="FFFFFF"/>
        <w:tabs>
          <w:tab w:val="clear" w:pos="708"/>
          <w:tab w:val="left" w:pos="426" w:leader="none"/>
        </w:tabs>
        <w:spacing w:lineRule="auto" w:line="240" w:before="0" w:after="0"/>
        <w:ind w:left="0" w:hanging="0"/>
        <w:contextualSpacing/>
        <w:jc w:val="center"/>
        <w:rPr>
          <w:b/>
          <w:bCs/>
          <w:sz w:val="24"/>
          <w:szCs w:val="24"/>
        </w:rPr>
      </w:pPr>
      <w:r>
        <w:rPr>
          <w:b/>
          <w:bCs/>
          <w:sz w:val="24"/>
          <w:szCs w:val="24"/>
        </w:rPr>
        <w:t>Антикоррупционная оговорка</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1"/>
        </w:numPr>
        <w:shd w:val="clear" w:color="auto" w:fill="FFFFFF"/>
        <w:tabs>
          <w:tab w:val="clear" w:pos="708"/>
          <w:tab w:val="left" w:pos="1418" w:leader="none"/>
        </w:tabs>
        <w:spacing w:lineRule="auto" w:line="240" w:before="0" w:after="0"/>
        <w:ind w:left="0" w:firstLine="709"/>
        <w:contextualSpacing/>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1"/>
        </w:numPr>
        <w:shd w:val="clear" w:color="auto" w:fill="FFFFFF"/>
        <w:tabs>
          <w:tab w:val="clear" w:pos="708"/>
          <w:tab w:val="left" w:pos="567" w:leader="none"/>
          <w:tab w:val="left" w:pos="1418" w:leader="none"/>
        </w:tabs>
        <w:spacing w:lineRule="auto" w:line="240" w:before="0" w:after="0"/>
        <w:ind w:left="0" w:firstLine="709"/>
        <w:contextualSpacing/>
        <w:rPr>
          <w:color w:val="000000"/>
          <w:sz w:val="24"/>
          <w:szCs w:val="24"/>
        </w:rPr>
      </w:pPr>
      <w:r>
        <w:rPr>
          <w:color w:val="000000"/>
          <w:sz w:val="24"/>
          <w:szCs w:val="24"/>
        </w:rPr>
        <w:t xml:space="preserve">Каналы связи Линия доверия Группы РусГидро: </w:t>
      </w:r>
    </w:p>
    <w:p>
      <w:pPr>
        <w:pStyle w:val="Normal"/>
        <w:widowControl w:val="false"/>
        <w:numPr>
          <w:ilvl w:val="2"/>
          <w:numId w:val="1"/>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Электронная почта: ld@rushydro.ru.</w:t>
      </w:r>
    </w:p>
    <w:p>
      <w:pPr>
        <w:pStyle w:val="Normal"/>
        <w:widowControl w:val="false"/>
        <w:numPr>
          <w:ilvl w:val="2"/>
          <w:numId w:val="1"/>
        </w:numPr>
        <w:shd w:val="clear" w:color="auto" w:fill="FFFFFF"/>
        <w:tabs>
          <w:tab w:val="clear" w:pos="708"/>
          <w:tab w:val="left" w:pos="567" w:leader="none"/>
          <w:tab w:val="left" w:pos="1418" w:leader="none"/>
        </w:tabs>
        <w:spacing w:lineRule="auto" w:line="240" w:before="0" w:after="0"/>
        <w:ind w:left="0" w:firstLine="709"/>
        <w:contextualSpacing/>
        <w:rPr>
          <w:sz w:val="24"/>
        </w:rPr>
      </w:pPr>
      <w:r>
        <w:rPr>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2"/>
          <w:numId w:val="1"/>
        </w:numPr>
        <w:tabs>
          <w:tab w:val="clear" w:pos="708"/>
          <w:tab w:val="left" w:pos="1418" w:leader="none"/>
        </w:tabs>
        <w:spacing w:lineRule="auto" w:line="259" w:before="0" w:after="160"/>
        <w:ind w:left="0" w:firstLine="709"/>
        <w:contextualSpacing/>
        <w:rPr>
          <w:sz w:val="24"/>
        </w:rPr>
      </w:pPr>
      <w:r>
        <w:rPr>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numPr>
          <w:ilvl w:val="0"/>
          <w:numId w:val="1"/>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ListParagraph"/>
        <w:numPr>
          <w:ilvl w:val="0"/>
          <w:numId w:val="1"/>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1"/>
        </w:numPr>
        <w:shd w:val="clear" w:color="auto" w:fill="FFFFFF"/>
        <w:tabs>
          <w:tab w:val="clear" w:pos="708"/>
          <w:tab w:val="left" w:pos="1134" w:leader="none"/>
        </w:tabs>
        <w:ind w:left="0" w:firstLine="709"/>
        <w:jc w:val="both"/>
        <w:rPr>
          <w:bCs/>
        </w:rPr>
      </w:pPr>
      <w:bookmarkStart w:id="31"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rPr>
        <w:t xml:space="preserve">соответствующие </w:t>
      </w:r>
      <w:hyperlink r:id="rId4">
        <w:r>
          <w:rPr>
            <w:rStyle w:val="Hyperlink"/>
            <w:bCs/>
          </w:rPr>
          <w:t>Критери</w:t>
        </w:r>
      </w:hyperlink>
      <w:bookmarkEnd w:id="31"/>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
        </w:numPr>
        <w:shd w:val="clear" w:color="auto" w:fill="FFFFFF"/>
        <w:tabs>
          <w:tab w:val="clear" w:pos="708"/>
          <w:tab w:val="left" w:pos="1134" w:leader="none"/>
        </w:tabs>
        <w:ind w:left="0" w:firstLine="709"/>
        <w:jc w:val="both"/>
        <w:rPr>
          <w:bCs/>
        </w:rPr>
      </w:pPr>
      <w:bookmarkStart w:id="32" w:name="_Ref361337921"/>
      <w:bookmarkEnd w:id="32"/>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3" w:name="_Ref361337948"/>
      <w:bookmarkEnd w:id="33"/>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
        </w:numPr>
        <w:shd w:val="clear" w:color="auto" w:fill="FFFFFF"/>
        <w:tabs>
          <w:tab w:val="clear" w:pos="708"/>
          <w:tab w:val="left" w:pos="1134" w:leader="none"/>
        </w:tabs>
        <w:ind w:left="0" w:firstLine="709"/>
        <w:jc w:val="both"/>
        <w:rPr>
          <w:bCs/>
        </w:rPr>
      </w:pPr>
      <w:bookmarkStart w:id="34" w:name="_Ref361337980"/>
      <w:bookmarkEnd w:id="34"/>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5" w:name="_Ref373243071"/>
      <w:bookmarkEnd w:id="35"/>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p>
    <w:p>
      <w:pPr>
        <w:pStyle w:val="ListParagraph"/>
        <w:numPr>
          <w:ilvl w:val="1"/>
          <w:numId w:val="1"/>
        </w:numPr>
        <w:shd w:val="clear" w:color="auto" w:fill="FFFFFF"/>
        <w:tabs>
          <w:tab w:val="clear" w:pos="708"/>
          <w:tab w:val="left" w:pos="1134" w:leader="none"/>
        </w:tabs>
        <w:ind w:left="0" w:firstLine="709"/>
        <w:jc w:val="both"/>
        <w:rPr>
          <w:bCs/>
        </w:rPr>
      </w:pPr>
      <w:bookmarkStart w:id="36" w:name="_Ref361337992"/>
      <w:bookmarkEnd w:id="36"/>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p>
    <w:p>
      <w:pPr>
        <w:pStyle w:val="ListParagraph"/>
        <w:numPr>
          <w:ilvl w:val="1"/>
          <w:numId w:val="1"/>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numPr>
          <w:ilvl w:val="0"/>
          <w:numId w:val="1"/>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 осуществляющих строительство</w:t>
      </w:r>
      <w:r>
        <w:rPr>
          <w:rStyle w:val="FootnoteReference"/>
        </w:rPr>
        <w:footnoteReference w:id="4"/>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rPr>
        <w:footnoteReference w:id="5"/>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1"/>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numPr>
          <w:ilvl w:val="0"/>
          <w:numId w:val="1"/>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1"/>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pPr>
      <w:r>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Pr>
          <w:i/>
        </w:rPr>
        <w:t>Приложение № 2 к Договору</w:t>
      </w:r>
      <w:r>
        <w:rPr/>
        <w:t>) более чем на 60 (шестьдесят) календарных дней по причинам, не зависящим от Заказчика;</w:t>
      </w:r>
    </w:p>
    <w:p>
      <w:pPr>
        <w:pStyle w:val="ListParagraph"/>
        <w:numPr>
          <w:ilvl w:val="0"/>
          <w:numId w:val="6"/>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pPr>
      <w:r>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pPr>
        <w:pStyle w:val="ListParagraph"/>
        <w:numPr>
          <w:ilvl w:val="0"/>
          <w:numId w:val="6"/>
        </w:numPr>
        <w:tabs>
          <w:tab w:val="clear" w:pos="708"/>
          <w:tab w:val="left" w:pos="1134" w:leader="none"/>
        </w:tabs>
        <w:ind w:left="0" w:right="23" w:firstLine="709"/>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rPr>
        <w:footnoteReference w:id="6"/>
      </w:r>
    </w:p>
    <w:p>
      <w:pPr>
        <w:pStyle w:val="ListParagraph"/>
        <w:numPr>
          <w:ilvl w:val="0"/>
          <w:numId w:val="6"/>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1"/>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7"/>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7"/>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1"/>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1"/>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1"/>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1"/>
        </w:numPr>
        <w:shd w:val="clear" w:color="auto" w:fill="FFFFFF"/>
        <w:tabs>
          <w:tab w:val="clear" w:pos="708"/>
          <w:tab w:val="left" w:pos="1134" w:leader="none"/>
        </w:tabs>
        <w:ind w:left="0" w:firstLine="709"/>
        <w:jc w:val="both"/>
        <w:rPr/>
      </w:pPr>
      <w:r>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__________.</w:t>
      </w:r>
    </w:p>
    <w:p>
      <w:pPr>
        <w:pStyle w:val="ListParagraph"/>
        <w:shd w:val="clear" w:color="auto" w:fill="FFFFFF"/>
        <w:tabs>
          <w:tab w:val="clear" w:pos="708"/>
          <w:tab w:val="left" w:pos="1134" w:leader="none"/>
        </w:tabs>
        <w:ind w:left="0" w:firstLine="709"/>
        <w:rPr/>
      </w:pPr>
      <w:r>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left="0" w:firstLine="709"/>
        <w:jc w:val="both"/>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rPr>
        <w:footnoteReference w:id="7"/>
      </w:r>
    </w:p>
    <w:p>
      <w:pPr>
        <w:pStyle w:val="ListParagraph"/>
        <w:numPr>
          <w:ilvl w:val="1"/>
          <w:numId w:val="1"/>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pPr>
        <w:pStyle w:val="ListParagraph"/>
        <w:numPr>
          <w:ilvl w:val="1"/>
          <w:numId w:val="1"/>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
        </w:numPr>
        <w:shd w:val="clear" w:color="auto" w:fill="FFFFFF"/>
        <w:tabs>
          <w:tab w:val="clear" w:pos="708"/>
          <w:tab w:val="left" w:pos="1134" w:leader="none"/>
        </w:tabs>
        <w:ind w:left="0" w:firstLine="709"/>
        <w:jc w:val="both"/>
        <w:rPr/>
      </w:pPr>
      <w:bookmarkStart w:id="37"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t xml:space="preserve"> </w:t>
      </w:r>
    </w:p>
    <w:p>
      <w:pPr>
        <w:pStyle w:val="ListParagraph"/>
        <w:numPr>
          <w:ilvl w:val="1"/>
          <w:numId w:val="1"/>
        </w:numPr>
        <w:shd w:val="clear" w:color="auto" w:fill="FFFFFF"/>
        <w:tabs>
          <w:tab w:val="clear" w:pos="708"/>
          <w:tab w:val="left" w:pos="1134" w:leader="none"/>
        </w:tabs>
        <w:ind w:left="0" w:firstLine="709"/>
        <w:jc w:val="both"/>
        <w:rPr>
          <w:bCs/>
        </w:rPr>
      </w:pPr>
      <w:bookmarkStart w:id="38"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bookmarkEnd w:id="38"/>
      <w:r>
        <w:rPr>
          <w:bCs/>
        </w:rPr>
        <w:t xml:space="preserve"> будет считаться полученным:</w:t>
      </w:r>
    </w:p>
    <w:p>
      <w:pPr>
        <w:pStyle w:val="ListParagraph"/>
        <w:numPr>
          <w:ilvl w:val="2"/>
          <w:numId w:val="1"/>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1"/>
        </w:numPr>
        <w:shd w:val="clear" w:color="auto" w:fill="FFFFFF"/>
        <w:tabs>
          <w:tab w:val="clear" w:pos="708"/>
          <w:tab w:val="left" w:pos="1701" w:leader="none"/>
        </w:tabs>
        <w:ind w:left="0" w:firstLine="709"/>
        <w:jc w:val="both"/>
        <w:rPr>
          <w:bCs/>
        </w:rPr>
      </w:pPr>
      <w:bookmarkStart w:id="39" w:name="_Ref361338032"/>
      <w:bookmarkEnd w:id="39"/>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1"/>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
        </w:numPr>
        <w:shd w:val="clear" w:color="auto" w:fill="FFFFFF"/>
        <w:tabs>
          <w:tab w:val="clear" w:pos="708"/>
          <w:tab w:val="left" w:pos="1134" w:leader="none"/>
          <w:tab w:val="left" w:pos="1560"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
        </w:numPr>
        <w:shd w:val="clear" w:color="auto" w:fill="FFFFFF"/>
        <w:tabs>
          <w:tab w:val="clear" w:pos="708"/>
          <w:tab w:val="left" w:pos="0" w:leader="none"/>
          <w:tab w:val="left" w:pos="709" w:leader="none"/>
          <w:tab w:val="left" w:pos="851" w:leader="none"/>
          <w:tab w:val="left" w:pos="993" w:leader="none"/>
          <w:tab w:val="left" w:pos="1134" w:leader="none"/>
          <w:tab w:val="left" w:pos="1560" w:leader="none"/>
          <w:tab w:val="left" w:pos="1701"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«Хабаровские электрические сети» расположенный по адресу: 680009, Российская Федерация, г. Хабаровск, ул. Промышленная, 13, ИНН 2801108200, КПП 272402001,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 w:val="left" w:pos="1560" w:leader="none"/>
        </w:tabs>
        <w:spacing w:lineRule="auto" w:line="240"/>
        <w:ind w:right="-2" w:firstLine="709"/>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left="0" w:firstLine="567"/>
        <w:rPr>
          <w:bCs/>
        </w:rPr>
      </w:pPr>
      <w:r>
        <w:rPr>
          <w:bCs/>
        </w:rPr>
      </w:r>
    </w:p>
    <w:p>
      <w:pPr>
        <w:pStyle w:val="ListParagraph"/>
        <w:numPr>
          <w:ilvl w:val="0"/>
          <w:numId w:val="1"/>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firstLine="567"/>
        <w:jc w:val="both"/>
        <w:rPr>
          <w:bCs/>
        </w:rPr>
      </w:pPr>
      <w:r>
        <w:rPr/>
        <w:t xml:space="preserve">Приложение № </w:t>
      </w:r>
      <w:r>
        <w:rPr>
          <w:bCs/>
        </w:rPr>
        <w:t>1 – Технические требования;</w:t>
      </w:r>
    </w:p>
    <w:p>
      <w:pPr>
        <w:pStyle w:val="ListParagraph"/>
        <w:shd w:val="clear" w:color="auto" w:fill="FFFFFF"/>
        <w:ind w:left="0" w:firstLine="567"/>
        <w:jc w:val="both"/>
        <w:rPr>
          <w:bCs/>
        </w:rPr>
      </w:pPr>
      <w:r>
        <w:rPr>
          <w:bCs/>
        </w:rPr>
        <w:t>Приложение № 2 – Календарный график выполнения Работ;</w:t>
      </w:r>
    </w:p>
    <w:p>
      <w:pPr>
        <w:pStyle w:val="ListParagraph"/>
        <w:shd w:val="clear" w:color="auto" w:fill="FFFFFF"/>
        <w:ind w:left="0" w:firstLine="567"/>
        <w:jc w:val="both"/>
        <w:rPr>
          <w:bCs/>
        </w:rPr>
      </w:pPr>
      <w:r>
        <w:rPr>
          <w:bCs/>
        </w:rPr>
        <w:t>Приложение № 3 – Сводный сметный расчет/Объектный сметный расчет с приложениями;</w:t>
      </w:r>
    </w:p>
    <w:p>
      <w:pPr>
        <w:pStyle w:val="ListParagraph"/>
        <w:shd w:val="clear" w:color="auto" w:fill="FFFFFF"/>
        <w:ind w:left="0" w:firstLine="567"/>
        <w:jc w:val="both"/>
        <w:rPr>
          <w:bCs/>
        </w:rPr>
      </w:pPr>
      <w:r>
        <w:rPr>
          <w:bCs/>
        </w:rPr>
        <w:t>Приложение № 4.1 – Форма Акта сдачи-приемки места производства работ;</w:t>
      </w:r>
    </w:p>
    <w:p>
      <w:pPr>
        <w:pStyle w:val="ListParagraph"/>
        <w:shd w:val="clear" w:color="auto" w:fill="FFFFFF"/>
        <w:ind w:left="0" w:firstLine="567"/>
        <w:jc w:val="both"/>
        <w:rPr>
          <w:bCs/>
        </w:rPr>
      </w:pPr>
      <w:r>
        <w:rPr>
          <w:bCs/>
        </w:rPr>
        <w:t>Приложение № 4.2 – Форма Акта сдачи-приемки технической и иной документации;</w:t>
      </w:r>
    </w:p>
    <w:p>
      <w:pPr>
        <w:pStyle w:val="ListParagraph"/>
        <w:shd w:val="clear" w:color="auto" w:fill="FFFFFF"/>
        <w:ind w:left="0" w:firstLine="567"/>
        <w:jc w:val="both"/>
        <w:rPr>
          <w:bCs/>
        </w:rPr>
      </w:pPr>
      <w:r>
        <w:rPr>
          <w:bCs/>
        </w:rPr>
        <w:t xml:space="preserve">Приложение № 5 – Перечень допусков, разрешений и лицензий Подрядчика; </w:t>
      </w:r>
    </w:p>
    <w:p>
      <w:pPr>
        <w:pStyle w:val="ListParagraph"/>
        <w:shd w:val="clear" w:color="auto" w:fill="FFFFFF"/>
        <w:ind w:left="0" w:firstLine="567"/>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firstLine="567"/>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w:t>
      </w:r>
    </w:p>
    <w:p>
      <w:pPr>
        <w:pStyle w:val="ListParagraph"/>
        <w:shd w:val="clear" w:color="auto" w:fill="FFFFFF"/>
        <w:ind w:left="0" w:firstLine="567"/>
        <w:jc w:val="both"/>
        <w:rPr>
          <w:bCs/>
        </w:rPr>
      </w:pPr>
      <w:r>
        <w:rPr>
          <w:bCs/>
        </w:rPr>
      </w:r>
    </w:p>
    <w:p>
      <w:pPr>
        <w:pStyle w:val="ListParagraph"/>
        <w:numPr>
          <w:ilvl w:val="0"/>
          <w:numId w:val="1"/>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firstLine="567"/>
        <w:rPr>
          <w:b/>
          <w:bCs/>
        </w:rPr>
      </w:pPr>
      <w:r>
        <w:rPr>
          <w:b/>
          <w:bCs/>
        </w:rPr>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928"/>
        <w:gridCol w:w="4961"/>
      </w:tblGrid>
      <w:tr>
        <w:trPr/>
        <w:tc>
          <w:tcPr>
            <w:tcW w:w="4928" w:type="dxa"/>
            <w:tcBorders/>
            <w:shd w:fill="auto" w:val="clear"/>
          </w:tcPr>
          <w:p>
            <w:pPr>
              <w:pStyle w:val="Normal"/>
              <w:widowControl w:val="false"/>
              <w:spacing w:lineRule="auto" w:line="240"/>
              <w:ind w:hanging="0"/>
              <w:rPr>
                <w:sz w:val="24"/>
                <w:szCs w:val="24"/>
              </w:rPr>
            </w:pPr>
            <w:r>
              <w:rPr>
                <w:sz w:val="24"/>
                <w:szCs w:val="24"/>
              </w:rPr>
              <w:t>ЗАКАЗЧИК:</w:t>
            </w:r>
          </w:p>
        </w:tc>
        <w:tc>
          <w:tcPr>
            <w:tcW w:w="4961" w:type="dxa"/>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
                <w:sz w:val="24"/>
                <w:szCs w:val="24"/>
              </w:rPr>
            </w:pPr>
            <w:r>
              <w:rPr>
                <w:b/>
                <w:sz w:val="24"/>
                <w:szCs w:val="24"/>
              </w:rPr>
              <w:t>Акционерное общество</w:t>
            </w:r>
          </w:p>
          <w:p>
            <w:pPr>
              <w:pStyle w:val="Normal"/>
              <w:widowControl w:val="false"/>
              <w:spacing w:lineRule="auto" w:line="240"/>
              <w:ind w:hanging="0"/>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bCs/>
                <w:sz w:val="24"/>
                <w:szCs w:val="24"/>
              </w:rPr>
            </w:pPr>
            <w:r>
              <w:rPr>
                <w:bCs/>
                <w:sz w:val="24"/>
                <w:szCs w:val="24"/>
              </w:rPr>
              <w:t>Юридический адрес:</w:t>
            </w:r>
          </w:p>
          <w:p>
            <w:pPr>
              <w:pStyle w:val="Normal"/>
              <w:widowControl w:val="false"/>
              <w:spacing w:lineRule="auto" w:line="240"/>
              <w:ind w:hanging="0"/>
              <w:rPr>
                <w:bCs/>
                <w:sz w:val="24"/>
                <w:szCs w:val="24"/>
              </w:rPr>
            </w:pPr>
            <w:r>
              <w:rPr>
                <w:bCs/>
                <w:sz w:val="24"/>
                <w:szCs w:val="24"/>
              </w:rPr>
              <w:t xml:space="preserve">675004, </w:t>
            </w:r>
            <w:r>
              <w:rPr>
                <w:sz w:val="24"/>
                <w:szCs w:val="24"/>
              </w:rPr>
              <w:t>Российская Федерация</w:t>
            </w:r>
            <w:r>
              <w:rPr>
                <w:bCs/>
                <w:sz w:val="24"/>
                <w:szCs w:val="24"/>
              </w:rPr>
              <w:t xml:space="preserve">, Амурская область, </w:t>
            </w:r>
          </w:p>
          <w:p>
            <w:pPr>
              <w:pStyle w:val="Normal"/>
              <w:widowControl w:val="false"/>
              <w:spacing w:lineRule="auto" w:line="240"/>
              <w:ind w:hanging="0"/>
              <w:rPr>
                <w:bCs/>
                <w:sz w:val="24"/>
                <w:szCs w:val="24"/>
              </w:rPr>
            </w:pPr>
            <w:r>
              <w:rPr>
                <w:bCs/>
                <w:sz w:val="24"/>
                <w:szCs w:val="24"/>
              </w:rPr>
              <w:t>г. Благовещенск, ул. Шевченко, 32</w:t>
            </w:r>
          </w:p>
          <w:p>
            <w:pPr>
              <w:pStyle w:val="Normal"/>
              <w:widowControl w:val="false"/>
              <w:spacing w:lineRule="auto" w:line="240"/>
              <w:ind w:hanging="0"/>
              <w:rPr>
                <w:b/>
                <w:bCs/>
                <w:i/>
                <w:i/>
                <w:sz w:val="24"/>
                <w:szCs w:val="24"/>
              </w:rPr>
            </w:pPr>
            <w:r>
              <w:rPr>
                <w:bCs/>
                <w:sz w:val="24"/>
                <w:szCs w:val="24"/>
              </w:rPr>
              <w:t>ИНН 2801108200 КПП 272402001</w:t>
            </w:r>
          </w:p>
          <w:p>
            <w:pPr>
              <w:pStyle w:val="Normal"/>
              <w:widowControl w:val="false"/>
              <w:spacing w:lineRule="auto" w:line="240"/>
              <w:ind w:hanging="0"/>
              <w:rPr>
                <w:bCs/>
                <w:sz w:val="24"/>
                <w:szCs w:val="24"/>
              </w:rPr>
            </w:pPr>
            <w:r>
              <w:rPr>
                <w:bCs/>
                <w:sz w:val="24"/>
                <w:szCs w:val="24"/>
              </w:rPr>
              <w:t>р/с 40702810003010113258</w:t>
            </w:r>
          </w:p>
          <w:p>
            <w:pPr>
              <w:pStyle w:val="Normal"/>
              <w:widowControl w:val="false"/>
              <w:spacing w:lineRule="auto" w:line="240"/>
              <w:ind w:hanging="0"/>
              <w:rPr>
                <w:bCs/>
                <w:sz w:val="24"/>
                <w:szCs w:val="24"/>
              </w:rPr>
            </w:pPr>
            <w:r>
              <w:rPr>
                <w:bCs/>
                <w:sz w:val="24"/>
                <w:szCs w:val="24"/>
              </w:rPr>
              <w:t>Дальневосточный банк ПАО Сбербанк г. Хабаровск</w:t>
            </w:r>
          </w:p>
          <w:p>
            <w:pPr>
              <w:pStyle w:val="Normal"/>
              <w:widowControl w:val="false"/>
              <w:spacing w:lineRule="auto" w:line="240"/>
              <w:ind w:hanging="0"/>
              <w:rPr>
                <w:bCs/>
                <w:sz w:val="24"/>
                <w:szCs w:val="24"/>
              </w:rPr>
            </w:pPr>
            <w:r>
              <w:rPr>
                <w:bCs/>
                <w:sz w:val="24"/>
                <w:szCs w:val="24"/>
              </w:rPr>
              <w:t>ИНН 7707083893</w:t>
            </w:r>
          </w:p>
          <w:p>
            <w:pPr>
              <w:pStyle w:val="Normal"/>
              <w:widowControl w:val="false"/>
              <w:spacing w:lineRule="auto" w:line="240"/>
              <w:ind w:hanging="0"/>
              <w:rPr>
                <w:bCs/>
                <w:sz w:val="24"/>
                <w:szCs w:val="24"/>
              </w:rPr>
            </w:pPr>
            <w:r>
              <w:rPr>
                <w:bCs/>
                <w:sz w:val="24"/>
                <w:szCs w:val="24"/>
              </w:rPr>
              <w:t>БИК 040813608</w:t>
            </w:r>
          </w:p>
          <w:p>
            <w:pPr>
              <w:pStyle w:val="Normal"/>
              <w:widowControl w:val="false"/>
              <w:spacing w:lineRule="auto" w:line="240"/>
              <w:ind w:hanging="0"/>
              <w:rPr>
                <w:bCs/>
                <w:sz w:val="24"/>
                <w:szCs w:val="24"/>
              </w:rPr>
            </w:pPr>
            <w:r>
              <w:rPr>
                <w:bCs/>
                <w:sz w:val="24"/>
                <w:szCs w:val="24"/>
              </w:rPr>
              <w:t>К/с 30101810600000000608</w:t>
            </w:r>
          </w:p>
          <w:p>
            <w:pPr>
              <w:pStyle w:val="Normal"/>
              <w:widowControl w:val="false"/>
              <w:spacing w:lineRule="auto" w:line="240"/>
              <w:ind w:hanging="0"/>
              <w:rPr>
                <w:bCs/>
                <w:sz w:val="24"/>
                <w:szCs w:val="24"/>
              </w:rPr>
            </w:pPr>
            <w:r>
              <w:rPr>
                <w:bCs/>
                <w:sz w:val="24"/>
                <w:szCs w:val="24"/>
              </w:rPr>
              <w:t>Почтовый адрес филиала АО «ДРСК»</w:t>
            </w:r>
          </w:p>
          <w:p>
            <w:pPr>
              <w:pStyle w:val="Normal"/>
              <w:widowControl w:val="false"/>
              <w:spacing w:lineRule="auto" w:line="240"/>
              <w:ind w:hanging="0"/>
              <w:rPr>
                <w:bCs/>
                <w:sz w:val="24"/>
                <w:szCs w:val="24"/>
              </w:rPr>
            </w:pPr>
            <w:r>
              <w:rPr>
                <w:bCs/>
                <w:sz w:val="24"/>
                <w:szCs w:val="24"/>
              </w:rPr>
              <w:t>«Хабаровские электрические сети»:</w:t>
            </w:r>
          </w:p>
          <w:p>
            <w:pPr>
              <w:pStyle w:val="Normal"/>
              <w:widowControl w:val="false"/>
              <w:spacing w:lineRule="auto" w:line="240"/>
              <w:ind w:hanging="0"/>
              <w:rPr>
                <w:bCs/>
                <w:sz w:val="24"/>
                <w:szCs w:val="24"/>
              </w:rPr>
            </w:pPr>
            <w:r>
              <w:rPr>
                <w:bCs/>
                <w:sz w:val="24"/>
                <w:szCs w:val="24"/>
              </w:rPr>
              <w:t>680009, Российская Федерация,</w:t>
            </w:r>
          </w:p>
          <w:p>
            <w:pPr>
              <w:pStyle w:val="Normal"/>
              <w:widowControl w:val="false"/>
              <w:spacing w:lineRule="auto" w:line="240"/>
              <w:ind w:hanging="0"/>
              <w:rPr>
                <w:bCs/>
                <w:sz w:val="24"/>
                <w:szCs w:val="24"/>
              </w:rPr>
            </w:pPr>
            <w:r>
              <w:rPr>
                <w:bCs/>
                <w:sz w:val="24"/>
                <w:szCs w:val="24"/>
              </w:rPr>
              <w:t>Хабаровский край, г. Хабаровск,</w:t>
            </w:r>
          </w:p>
          <w:p>
            <w:pPr>
              <w:pStyle w:val="Normal"/>
              <w:widowControl w:val="false"/>
              <w:spacing w:lineRule="auto" w:line="240"/>
              <w:ind w:hanging="0"/>
              <w:rPr>
                <w:bCs/>
                <w:sz w:val="24"/>
                <w:szCs w:val="24"/>
              </w:rPr>
            </w:pPr>
            <w:r>
              <w:rPr>
                <w:bCs/>
                <w:sz w:val="24"/>
                <w:szCs w:val="24"/>
              </w:rPr>
              <w:t>ул. Промышленная, д.13,</w:t>
            </w:r>
          </w:p>
          <w:p>
            <w:pPr>
              <w:pStyle w:val="Normal"/>
              <w:widowControl w:val="false"/>
              <w:spacing w:lineRule="auto" w:line="240"/>
              <w:ind w:hanging="0"/>
              <w:rPr>
                <w:sz w:val="24"/>
                <w:szCs w:val="24"/>
              </w:rPr>
            </w:pPr>
            <w:r>
              <w:rPr>
                <w:bCs/>
                <w:sz w:val="24"/>
                <w:szCs w:val="24"/>
              </w:rPr>
              <w:t>тел.: 8 (4212) 599-159</w:t>
            </w:r>
          </w:p>
          <w:p>
            <w:pPr>
              <w:pStyle w:val="Normal"/>
              <w:widowControl w:val="false"/>
              <w:spacing w:lineRule="auto" w:line="240"/>
              <w:ind w:hanging="0"/>
              <w:rPr>
                <w:sz w:val="24"/>
                <w:szCs w:val="24"/>
              </w:rPr>
            </w:pPr>
            <w:r>
              <w:rPr>
                <w:sz w:val="24"/>
                <w:szCs w:val="24"/>
              </w:rPr>
            </w:r>
          </w:p>
        </w:tc>
        <w:tc>
          <w:tcPr>
            <w:tcW w:w="4961" w:type="dxa"/>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bl>
    <w:p>
      <w:pPr>
        <w:sectPr>
          <w:headerReference w:type="default" r:id="rId5"/>
          <w:footerReference w:type="default" r:id="rId6"/>
          <w:footnotePr>
            <w:numFmt w:val="decimal"/>
          </w:footnotePr>
          <w:type w:val="nextPage"/>
          <w:pgSz w:w="11906" w:h="16838"/>
          <w:pgMar w:left="1418" w:right="851" w:gutter="0" w:header="709" w:top="993" w:footer="709" w:bottom="851"/>
          <w:pgNumType w:fmt="decimal"/>
          <w:formProt w:val="false"/>
          <w:titlePg/>
          <w:textDirection w:val="lrTb"/>
          <w:docGrid w:type="default" w:linePitch="360"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0" w:type="dxa"/>
        <w:jc w:val="left"/>
        <w:tblInd w:w="-10" w:type="dxa"/>
        <w:tblLayout w:type="fixed"/>
        <w:tblCellMar>
          <w:top w:w="0" w:type="dxa"/>
          <w:left w:w="98" w:type="dxa"/>
          <w:bottom w:w="0" w:type="dxa"/>
          <w:right w:w="108" w:type="dxa"/>
        </w:tblCellMar>
        <w:tblLook w:val="04a0" w:noVBand="1" w:noHBand="0" w:lastColumn="0" w:firstColumn="1" w:lastRow="0" w:firstRow="1"/>
      </w:tblPr>
      <w:tblGrid>
        <w:gridCol w:w="704"/>
        <w:gridCol w:w="1609"/>
        <w:gridCol w:w="1425"/>
        <w:gridCol w:w="1547"/>
        <w:gridCol w:w="841"/>
        <w:gridCol w:w="1174"/>
        <w:gridCol w:w="774"/>
        <w:gridCol w:w="850"/>
        <w:gridCol w:w="1"/>
        <w:gridCol w:w="984"/>
      </w:tblGrid>
      <w:tr>
        <w:trPr/>
        <w:tc>
          <w:tcPr>
            <w:tcW w:w="70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09"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5"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7"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FootnoteReference"/>
                <w:sz w:val="20"/>
                <w:szCs w:val="20"/>
              </w:rPr>
              <w:footnoteReference w:id="8"/>
            </w:r>
          </w:p>
        </w:tc>
        <w:tc>
          <w:tcPr>
            <w:tcW w:w="2015" w:type="dxa"/>
            <w:gridSpan w:val="2"/>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51" w:type="dxa"/>
            <w:gridSpan w:val="2"/>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(18%), руб.</w:t>
            </w:r>
          </w:p>
        </w:tc>
        <w:tc>
          <w:tcPr>
            <w:tcW w:w="984" w:type="dxa"/>
            <w:vMerge w:val="restart"/>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70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609"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1.</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2.</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3.</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restart"/>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4.</w:t>
            </w:r>
          </w:p>
        </w:tc>
        <w:tc>
          <w:tcPr>
            <w:tcW w:w="1609"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425"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547" w:type="dxa"/>
            <w:vMerge w:val="continue"/>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11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851"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c>
          <w:tcPr>
            <w:tcW w:w="98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704"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sz w:val="24"/>
                <w:szCs w:val="24"/>
              </w:rPr>
            </w:pPr>
            <w:r>
              <w:rPr>
                <w:sz w:val="24"/>
                <w:szCs w:val="24"/>
              </w:rPr>
              <w:t>-</w:t>
            </w:r>
          </w:p>
        </w:tc>
        <w:tc>
          <w:tcPr>
            <w:tcW w:w="8220" w:type="dxa"/>
            <w:gridSpan w:val="7"/>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t>Непредвиденные работы и затраты (лимит)</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sz w:val="24"/>
                <w:szCs w:val="24"/>
              </w:rPr>
            </w:pPr>
            <w:r>
              <w:rPr>
                <w:sz w:val="24"/>
                <w:szCs w:val="24"/>
              </w:rPr>
            </w:r>
          </w:p>
        </w:tc>
      </w:tr>
      <w:tr>
        <w:trPr/>
        <w:tc>
          <w:tcPr>
            <w:tcW w:w="8924" w:type="dxa"/>
            <w:gridSpan w:val="8"/>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985" w:type="dxa"/>
            <w:gridSpan w:val="2"/>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7"/>
          <w:headerReference w:type="first" r:id="rId8"/>
          <w:footerReference w:type="default" r:id="rId9"/>
          <w:footerReference w:type="first" r:id="rId10"/>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pP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Cs/>
          <w:sz w:val="24"/>
          <w:szCs w:val="24"/>
        </w:rPr>
      </w:pPr>
      <w:r>
        <w:rPr>
          <w:b/>
          <w:sz w:val="24"/>
          <w:szCs w:val="24"/>
        </w:rPr>
        <w:t xml:space="preserve">СВОДНЫЙ СМЕТНЫЙ РАСЧЕТ </w:t>
      </w:r>
      <w:r>
        <w:rPr>
          <w:bCs/>
          <w:sz w:val="24"/>
          <w:szCs w:val="24"/>
        </w:rPr>
        <w:t xml:space="preserve">/ </w:t>
      </w:r>
    </w:p>
    <w:p>
      <w:pPr>
        <w:pStyle w:val="Normal"/>
        <w:spacing w:lineRule="auto" w:line="240"/>
        <w:ind w:hanging="0"/>
        <w:jc w:val="center"/>
        <w:rPr>
          <w:b/>
          <w:sz w:val="24"/>
          <w:szCs w:val="24"/>
        </w:rPr>
      </w:pPr>
      <w:r>
        <w:rPr>
          <w:b/>
          <w:bCs/>
          <w:sz w:val="24"/>
          <w:szCs w:val="24"/>
        </w:rPr>
        <w:t>ОБЪЕКТНЫЙ СМЕТНЫЙ РАСЧЕТ</w:t>
      </w:r>
      <w:r>
        <w:rPr>
          <w:bCs/>
        </w:rPr>
        <w:t xml:space="preserve"> </w:t>
      </w:r>
      <w:r>
        <w:rPr>
          <w:b/>
          <w:sz w:val="24"/>
          <w:szCs w:val="24"/>
        </w:rPr>
        <w:t>С ПРИЛОЖЕНИЯМИ</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rPr>
      </w:pPr>
      <w:r>
        <w:rPr>
          <w:bCs/>
          <w:sz w:val="24"/>
          <w:szCs w:val="24"/>
        </w:rPr>
        <w:t>Акта сдачи-приемки места производства Работ и / или</w:t>
      </w:r>
      <w:r>
        <w:rPr>
          <w:sz w:val="24"/>
        </w:rPr>
        <w:t xml:space="preserve"> места (помещения) для складирования </w:t>
      </w:r>
      <w:r>
        <w:rPr>
          <w:bCs/>
          <w:sz w:val="24"/>
        </w:rPr>
        <w:t>Материально-технических ресурсов</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b w:val="false"/>
                <w:i/>
                <w:i/>
                <w:iCs/>
              </w:rPr>
            </w:pPr>
            <w:r>
              <w:rPr>
                <w:b w:val="false"/>
                <w:bCs/>
              </w:rPr>
              <w:t>сдачи-приемки места производства Работ</w:t>
            </w:r>
            <w:r>
              <w:rPr/>
              <w:t xml:space="preserve"> </w:t>
            </w:r>
            <w:r>
              <w:rPr>
                <w:b w:val="false"/>
              </w:rPr>
              <w:t>и / или</w:t>
            </w:r>
            <w:r>
              <w:rPr>
                <w:b w:val="false"/>
                <w:bCs/>
              </w:rPr>
              <w:t xml:space="preserve"> места (помещения) для складирования Материально-технических ресурсов</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и / или </w:t>
            </w:r>
            <w:r>
              <w:rPr>
                <w:sz w:val="22"/>
                <w:szCs w:val="22"/>
              </w:rPr>
              <w:t xml:space="preserve">место (помещение) для складирования </w:t>
            </w:r>
            <w:r>
              <w:rPr>
                <w:bCs/>
                <w:sz w:val="22"/>
                <w:szCs w:val="22"/>
              </w:rPr>
              <w:t>Материально-технических ресурсов</w:t>
            </w:r>
            <w:r>
              <w:rPr>
                <w:sz w:val="22"/>
                <w:szCs w:val="22"/>
              </w:rPr>
              <w:t xml:space="preserve"> _____________________________ </w:t>
            </w:r>
            <w:r>
              <w:rPr>
                <w:bCs/>
                <w:sz w:val="22"/>
                <w:szCs w:val="22"/>
              </w:rPr>
              <w:t xml:space="preserve">(указываются идентифицирующие признаки)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и </w:t>
            </w:r>
            <w:r>
              <w:rPr>
                <w:sz w:val="22"/>
                <w:szCs w:val="22"/>
              </w:rPr>
              <w:t xml:space="preserve">место (помещение) для складирования </w:t>
            </w:r>
            <w:r>
              <w:rPr>
                <w:bCs/>
                <w:sz w:val="22"/>
                <w:szCs w:val="22"/>
              </w:rPr>
              <w:t xml:space="preserve">Материально-технических ресурсов передано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w:t>
            </w:r>
            <w:r>
              <w:rPr>
                <w:sz w:val="22"/>
                <w:szCs w:val="22"/>
              </w:rPr>
              <w:t xml:space="preserve"> складирования </w:t>
            </w:r>
            <w:r>
              <w:rPr>
                <w:bCs/>
                <w:sz w:val="22"/>
                <w:szCs w:val="22"/>
              </w:rPr>
              <w:t>Материально-технических ресурсов: _______________________________________</w:t>
            </w:r>
          </w:p>
          <w:p>
            <w:pPr>
              <w:pStyle w:val="Normal"/>
              <w:widowControl w:val="false"/>
              <w:ind w:hanging="0"/>
              <w:rPr>
                <w:sz w:val="22"/>
                <w:szCs w:val="22"/>
              </w:rPr>
            </w:pPr>
            <w:r>
              <w:rPr>
                <w:sz w:val="22"/>
                <w:szCs w:val="22"/>
              </w:rPr>
              <w:t xml:space="preserve"> </w:t>
            </w:r>
            <w:r>
              <w:rPr>
                <w:sz w:val="22"/>
                <w:szCs w:val="22"/>
              </w:rPr>
              <w:t>(</w:t>
            </w:r>
            <w:r>
              <w:rPr>
                <w:i/>
                <w:sz w:val="22"/>
              </w:rPr>
              <w:t>указать конкретные претензии или указать «не имеются»)</w:t>
            </w:r>
            <w:r>
              <w:rPr>
                <w:sz w:val="22"/>
              </w:rPr>
              <w:t>.</w:t>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4.2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A"/>
              <w:left w:val="single" w:sz="4" w:space="0" w:color="00000A"/>
              <w:bottom w:val="single" w:sz="4" w:space="0" w:color="00000A"/>
              <w:right w:val="single" w:sz="4" w:space="0" w:color="00000A"/>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rPr>
      </w:pPr>
      <w:r>
        <w:rPr>
          <w:sz w:val="22"/>
          <w:szCs w:val="22"/>
        </w:rPr>
        <w:t xml:space="preserve"> </w:t>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800" w:type="pct"/>
        <w:jc w:val="left"/>
        <w:tblInd w:w="-10" w:type="dxa"/>
        <w:tblLayout w:type="fixed"/>
        <w:tblCellMar>
          <w:top w:w="0" w:type="dxa"/>
          <w:left w:w="98" w:type="dxa"/>
          <w:bottom w:w="0" w:type="dxa"/>
          <w:right w:w="108" w:type="dxa"/>
        </w:tblCellMar>
        <w:tblLook w:val="04a0" w:noVBand="1" w:noHBand="0" w:lastColumn="0" w:firstColumn="1" w:lastRow="0" w:firstRow="1"/>
      </w:tblPr>
      <w:tblGrid>
        <w:gridCol w:w="704"/>
        <w:gridCol w:w="1469"/>
        <w:gridCol w:w="1322"/>
        <w:gridCol w:w="1592"/>
        <w:gridCol w:w="1186"/>
        <w:gridCol w:w="1322"/>
        <w:gridCol w:w="1655"/>
      </w:tblGrid>
      <w:tr>
        <w:trPr>
          <w:trHeight w:val="2142"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46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5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186"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32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c>
          <w:tcPr>
            <w:tcW w:w="165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700" w:type="pct"/>
        <w:jc w:val="left"/>
        <w:tblInd w:w="-10" w:type="dxa"/>
        <w:tblLayout w:type="fixed"/>
        <w:tblCellMar>
          <w:top w:w="0" w:type="dxa"/>
          <w:left w:w="9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sz w:val="24"/>
                <w:szCs w:val="24"/>
              </w:rPr>
            </w:pPr>
            <w:r>
              <w:rPr>
                <w:b/>
                <w:sz w:val="24"/>
                <w:szCs w:val="24"/>
              </w:rPr>
              <w:t>Виды нарушений</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rPr>
                <w:sz w:val="24"/>
                <w:szCs w:val="24"/>
              </w:rPr>
            </w:pPr>
            <w:r>
              <w:rPr>
                <w:sz w:val="24"/>
                <w:szCs w:val="24"/>
              </w:rPr>
              <w:t>- 50 000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11"/>
          <w:headerReference w:type="first" r:id="rId12"/>
          <w:footerReference w:type="default" r:id="rId13"/>
          <w:footerReference w:type="first" r:id="rId14"/>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p>
      <w:pPr>
        <w:pStyle w:val="Normal"/>
        <w:spacing w:lineRule="auto" w:line="240"/>
        <w:ind w:left="9781" w:hanging="0"/>
        <w:rPr>
          <w:sz w:val="22"/>
        </w:rPr>
      </w:pPr>
      <w:bookmarkStart w:id="40" w:name="RANGE!A1%3AAG42"/>
      <w:bookmarkStart w:id="41" w:name="RANGE!A1%3AAG40"/>
      <w:bookmarkEnd w:id="40"/>
      <w:bookmarkEnd w:id="41"/>
      <w:r>
        <w:rPr>
          <w:sz w:val="22"/>
        </w:rPr>
        <w:t xml:space="preserve">Приложение № </w:t>
      </w:r>
      <w:r>
        <w:rPr>
          <w:sz w:val="22"/>
          <w:szCs w:val="22"/>
        </w:rPr>
        <w:t>7</w:t>
      </w:r>
    </w:p>
    <w:p>
      <w:pPr>
        <w:pStyle w:val="Normal"/>
        <w:spacing w:lineRule="auto" w:line="240"/>
        <w:ind w:left="9781" w:hanging="0"/>
        <w:rPr>
          <w:sz w:val="22"/>
        </w:rPr>
      </w:pPr>
      <w:r>
        <w:rPr>
          <w:sz w:val="22"/>
        </w:rPr>
        <w:t>к договору подряда</w:t>
      </w:r>
    </w:p>
    <w:p>
      <w:pPr>
        <w:pStyle w:val="Normal"/>
        <w:spacing w:lineRule="auto" w:line="240"/>
        <w:ind w:left="9781" w:hanging="0"/>
        <w:rPr>
          <w:sz w:val="22"/>
        </w:rPr>
      </w:pPr>
      <w:r>
        <w:rPr>
          <w:sz w:val="22"/>
          <w:szCs w:val="22"/>
        </w:rPr>
        <w:t>от «____» __________ 20__ № ____</w:t>
      </w:r>
    </w:p>
    <w:p>
      <w:pPr>
        <w:pStyle w:val="Normal"/>
        <w:spacing w:lineRule="auto" w:line="240"/>
        <w:ind w:left="9781" w:hanging="0"/>
        <w:jc w:val="center"/>
        <w:rPr>
          <w:b/>
          <w:bCs/>
          <w:color w:val="000000"/>
          <w:sz w:val="24"/>
          <w:szCs w:val="24"/>
        </w:rPr>
      </w:pPr>
      <w:r>
        <w:rPr>
          <w:b/>
          <w:bCs/>
          <w:color w:val="000000"/>
          <w:sz w:val="24"/>
          <w:szCs w:val="24"/>
        </w:rPr>
      </w:r>
    </w:p>
    <w:p>
      <w:pPr>
        <w:pStyle w:val="Normal"/>
        <w:spacing w:lineRule="auto" w:line="240"/>
        <w:ind w:hanging="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18" w:type="dxa"/>
          <w:bottom w:w="0" w:type="dxa"/>
          <w:right w:w="28" w:type="dxa"/>
        </w:tblCellMar>
        <w:tblLook w:val="04a0" w:noVBand="1" w:noHBand="0" w:lastColumn="0" w:firstColumn="1" w:lastRow="0" w:firstRow="1"/>
      </w:tblPr>
      <w:tblGrid>
        <w:gridCol w:w="266"/>
        <w:gridCol w:w="804"/>
        <w:gridCol w:w="1185"/>
        <w:gridCol w:w="1414"/>
        <w:gridCol w:w="2409"/>
        <w:gridCol w:w="2970"/>
        <w:gridCol w:w="2832"/>
        <w:gridCol w:w="993"/>
        <w:gridCol w:w="1694"/>
      </w:tblGrid>
      <w:tr>
        <w:trPr>
          <w:trHeight w:val="1327" w:hRule="atLeast"/>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80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1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141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240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69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r>
          </w:p>
        </w:tc>
        <w:tc>
          <w:tcPr>
            <w:tcW w:w="1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w:t>
            </w:r>
          </w:p>
        </w:tc>
        <w:tc>
          <w:tcPr>
            <w:tcW w:w="1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3</w:t>
            </w:r>
          </w:p>
        </w:tc>
        <w:tc>
          <w:tcPr>
            <w:tcW w:w="240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4</w:t>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5</w:t>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6</w:t>
            </w:r>
          </w:p>
        </w:tc>
        <w:tc>
          <w:tcPr>
            <w:tcW w:w="9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7</w:t>
            </w:r>
          </w:p>
        </w:tc>
        <w:tc>
          <w:tcPr>
            <w:tcW w:w="169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8</w:t>
            </w:r>
          </w:p>
        </w:tc>
      </w:tr>
      <w:tr>
        <w:trPr/>
        <w:tc>
          <w:tcPr>
            <w:tcW w:w="266"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80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5"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41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40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97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99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69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10" w:type="dxa"/>
        <w:tblLayout w:type="fixed"/>
        <w:tblCellMar>
          <w:top w:w="0" w:type="dxa"/>
          <w:left w:w="18" w:type="dxa"/>
          <w:bottom w:w="0" w:type="dxa"/>
          <w:right w:w="28" w:type="dxa"/>
        </w:tblCellMar>
        <w:tblLook w:val="04a0" w:noVBand="1" w:noHBand="0" w:lastColumn="0" w:firstColumn="1" w:lastRow="0" w:firstRow="1"/>
      </w:tblPr>
      <w:tblGrid>
        <w:gridCol w:w="1267"/>
        <w:gridCol w:w="1700"/>
        <w:gridCol w:w="1132"/>
        <w:gridCol w:w="1132"/>
        <w:gridCol w:w="1273"/>
        <w:gridCol w:w="2123"/>
        <w:gridCol w:w="1840"/>
        <w:gridCol w:w="1274"/>
        <w:gridCol w:w="2826"/>
      </w:tblGrid>
      <w:tr>
        <w:trPr>
          <w:trHeight w:val="1289" w:hRule="atLeast"/>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70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1132"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Style5"/>
                <w:rFonts w:eastAsia="Symbol" w:cs="Symbol" w:ascii="Symbol" w:hAnsi="Symbol"/>
                <w:sz w:val="16"/>
                <w:szCs w:val="16"/>
              </w:rPr>
              <w:t></w:t>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rStyle w:val="FootnoteReference"/>
              </w:rPr>
              <w:footnoteReference w:customMarkFollows="1" w:id="9"/>
              <w:t>Полное наименование/ФИО</w:t>
            </w:r>
            <w:r>
              <w:rPr/>
              <w:t>Полное наименование/ФИО</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282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9</w:t>
            </w:r>
          </w:p>
        </w:tc>
        <w:tc>
          <w:tcPr>
            <w:tcW w:w="170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10</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1</w:t>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12</w:t>
            </w:r>
          </w:p>
        </w:tc>
        <w:tc>
          <w:tcPr>
            <w:tcW w:w="1273"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13</w:t>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840"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15</w:t>
            </w:r>
          </w:p>
        </w:tc>
        <w:tc>
          <w:tcPr>
            <w:tcW w:w="1274"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16</w:t>
            </w:r>
          </w:p>
        </w:tc>
        <w:tc>
          <w:tcPr>
            <w:tcW w:w="282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17</w:t>
            </w:r>
          </w:p>
        </w:tc>
      </w:tr>
      <w:tr>
        <w:trPr/>
        <w:tc>
          <w:tcPr>
            <w:tcW w:w="126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0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3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27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12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840"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2826"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10" w:type="dxa"/>
        <w:tblLayout w:type="fixed"/>
        <w:tblCellMar>
          <w:top w:w="0" w:type="dxa"/>
          <w:left w:w="18" w:type="dxa"/>
          <w:bottom w:w="0" w:type="dxa"/>
          <w:right w:w="28" w:type="dxa"/>
        </w:tblCellMar>
        <w:tblLook w:val="04a0" w:noVBand="1" w:noHBand="0" w:lastColumn="0" w:firstColumn="1" w:lastRow="0" w:firstRow="1"/>
      </w:tblPr>
      <w:tblGrid>
        <w:gridCol w:w="1334"/>
        <w:gridCol w:w="1785"/>
        <w:gridCol w:w="1187"/>
        <w:gridCol w:w="1190"/>
        <w:gridCol w:w="1339"/>
        <w:gridCol w:w="1189"/>
        <w:gridCol w:w="1933"/>
        <w:gridCol w:w="1041"/>
        <w:gridCol w:w="1188"/>
        <w:gridCol w:w="892"/>
        <w:gridCol w:w="743"/>
        <w:gridCol w:w="747"/>
      </w:tblGrid>
      <w:tr>
        <w:trPr>
          <w:trHeight w:val="1266"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785"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1187"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1190"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9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104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18</w:t>
            </w:r>
          </w:p>
        </w:tc>
        <w:tc>
          <w:tcPr>
            <w:tcW w:w="178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19</w:t>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20</w:t>
            </w:r>
          </w:p>
        </w:tc>
        <w:tc>
          <w:tcPr>
            <w:tcW w:w="11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b/>
                <w:sz w:val="16"/>
                <w:szCs w:val="16"/>
                <w:lang w:val="en-US"/>
              </w:rPr>
            </w:pPr>
            <w:r>
              <w:rPr>
                <w:b/>
                <w:sz w:val="16"/>
                <w:szCs w:val="16"/>
                <w:lang w:val="en-US"/>
              </w:rPr>
              <w:t>21</w:t>
            </w:r>
          </w:p>
        </w:tc>
        <w:tc>
          <w:tcPr>
            <w:tcW w:w="1339"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22</w:t>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1933" w:type="dxa"/>
            <w:tcBorders>
              <w:top w:val="single" w:sz="4" w:space="0" w:color="00000A"/>
              <w:left w:val="single" w:sz="4" w:space="0" w:color="00000A"/>
              <w:bottom w:val="single" w:sz="4" w:space="0" w:color="00000A"/>
              <w:right w:val="single" w:sz="4" w:space="0" w:color="00000A"/>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24</w:t>
            </w:r>
          </w:p>
        </w:tc>
        <w:tc>
          <w:tcPr>
            <w:tcW w:w="1041"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25</w:t>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26</w:t>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27</w:t>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28</w:t>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29</w:t>
            </w:r>
          </w:p>
        </w:tc>
      </w:tr>
      <w:tr>
        <w:trPr>
          <w:trHeight w:val="200" w:hRule="atLeast"/>
        </w:trPr>
        <w:tc>
          <w:tcPr>
            <w:tcW w:w="1334"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785"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90"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339"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933" w:type="dxa"/>
            <w:tcBorders>
              <w:top w:val="single" w:sz="4" w:space="0" w:color="00000A"/>
              <w:left w:val="single" w:sz="4" w:space="0" w:color="00000A"/>
              <w:bottom w:val="single" w:sz="4" w:space="0" w:color="00000A"/>
              <w:right w:val="single" w:sz="4" w:space="0" w:color="00000A"/>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041"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1188" w:type="dxa"/>
            <w:tcBorders>
              <w:top w:val="single" w:sz="4" w:space="0" w:color="00000A"/>
              <w:left w:val="single" w:sz="4" w:space="0" w:color="00000A"/>
              <w:bottom w:val="single" w:sz="4" w:space="0" w:color="00000A"/>
              <w:right w:val="single" w:sz="4" w:space="0" w:color="00000A"/>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892"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3"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c>
          <w:tcPr>
            <w:tcW w:w="747" w:type="dxa"/>
            <w:tcBorders>
              <w:top w:val="single" w:sz="4" w:space="0" w:color="00000A"/>
              <w:left w:val="single" w:sz="4" w:space="0" w:color="00000A"/>
              <w:bottom w:val="single" w:sz="4" w:space="0" w:color="00000A"/>
              <w:right w:val="single" w:sz="4" w:space="0" w:color="00000A"/>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7513"/>
        <w:gridCol w:w="8788"/>
      </w:tblGrid>
      <w:tr>
        <w:trPr/>
        <w:tc>
          <w:tcPr>
            <w:tcW w:w="7513" w:type="dxa"/>
            <w:tcBorders/>
            <w:shd w:fill="auto" w:val="clear"/>
          </w:tcPr>
          <w:p>
            <w:pPr>
              <w:pStyle w:val="Normal"/>
              <w:widowControl w:val="false"/>
              <w:spacing w:lineRule="auto" w:line="240"/>
              <w:ind w:hanging="0"/>
              <w:rPr>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 xml:space="preserve">______________ /_______________ </w:t>
            </w:r>
          </w:p>
        </w:tc>
        <w:tc>
          <w:tcPr>
            <w:tcW w:w="8788" w:type="dxa"/>
            <w:tcBorders/>
            <w:shd w:fill="auto" w:val="clear"/>
          </w:tcPr>
          <w:p>
            <w:pPr>
              <w:pStyle w:val="Normal"/>
              <w:widowControl w:val="false"/>
              <w:spacing w:lineRule="auto" w:line="240"/>
              <w:ind w:hanging="0"/>
              <w:rPr>
                <w:sz w:val="16"/>
                <w:szCs w:val="16"/>
              </w:rPr>
            </w:pPr>
            <w:r>
              <w:rPr>
                <w:sz w:val="16"/>
                <w:szCs w:val="16"/>
              </w:rPr>
              <w:t xml:space="preserve">_______________ / _______________ </w:t>
            </w:r>
          </w:p>
        </w:tc>
      </w:tr>
    </w:tbl>
    <w:p>
      <w:pPr>
        <w:sectPr>
          <w:headerReference w:type="default" r:id="rId15"/>
          <w:headerReference w:type="first" r:id="rId16"/>
          <w:footerReference w:type="default" r:id="rId17"/>
          <w:footerReference w:type="first" r:id="rId18"/>
          <w:footnotePr>
            <w:numFmt w:val="decimal"/>
          </w:footnotePr>
          <w:type w:val="nextPage"/>
          <w:pgSz w:orient="landscape" w:w="16838" w:h="11906"/>
          <w:pgMar w:left="1418" w:right="851" w:gutter="0" w:header="567" w:top="709" w:footer="284" w:bottom="709"/>
          <w:pgNumType w:fmt="decimal"/>
          <w:formProt w:val="false"/>
          <w:textDirection w:val="lrTb"/>
          <w:docGrid w:type="default" w:linePitch="360" w:charSpace="0"/>
        </w:sectPr>
      </w:pPr>
    </w:p>
    <w:p>
      <w:pPr>
        <w:pStyle w:val="Normal"/>
        <w:ind w:hanging="0"/>
        <w:rPr/>
      </w:pPr>
      <w:r>
        <w:rPr/>
      </w:r>
    </w:p>
    <w:sectPr>
      <w:headerReference w:type="default" r:id="rId19"/>
      <w:headerReference w:type="first" r:id="rId20"/>
      <w:footerReference w:type="default" r:id="rId21"/>
      <w:footerReference w:type="first" r:id="rId22"/>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before="0" w:after="120"/>
      <w:rPr>
        <w:sz w:val="18"/>
        <w:szCs w:val="18"/>
      </w:rPr>
    </w:pPr>
    <w:r>
      <w:rPr>
        <w:sz w:val="18"/>
        <w:szCs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5"/>
        </w:rPr>
        <w:footnoteRef/>
      </w:r>
      <w:r>
        <w:rPr>
          <w:rStyle w:val="Style5"/>
        </w:rPr>
        <w:tab/>
      </w:r>
      <w:r>
        <w:rPr/>
        <w:t xml:space="preserve">  Не требуется членство в СРО контрагентов по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 10 000 000 (десять миллионов) рублей (по договорам строительного подряда);</w:t>
      </w:r>
    </w:p>
    <w:p>
      <w:pPr>
        <w:pStyle w:val="FootnoteText"/>
        <w:tabs>
          <w:tab w:val="clear" w:pos="708"/>
          <w:tab w:val="left" w:pos="284" w:leader="none"/>
        </w:tabs>
        <w:jc w:val="both"/>
        <w:rPr/>
      </w:pPr>
      <w:r>
        <w:rPr/>
        <w:tab/>
        <w:t>-</w:t>
        <w:tab/>
        <w:t>при выполнении работ по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по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FootnoteText"/>
        <w:jc w:val="both"/>
        <w:rPr/>
      </w:pPr>
      <w:r>
        <w:rPr>
          <w:rStyle w:val="Style5"/>
        </w:rPr>
        <w:footnoteRef/>
      </w:r>
      <w:r>
        <w:rPr>
          <w:rStyle w:val="Style5"/>
        </w:rPr>
        <w:tab/>
      </w:r>
      <w:r>
        <w:rPr/>
        <w:t xml:space="preserve">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4">
    <w:p>
      <w:pPr>
        <w:pStyle w:val="FootnoteText"/>
        <w:jc w:val="both"/>
        <w:rPr/>
      </w:pPr>
      <w:r>
        <w:rPr>
          <w:rStyle w:val="Style5"/>
        </w:rPr>
        <w:footnoteRef/>
      </w:r>
      <w:r>
        <w:rPr>
          <w:rStyle w:val="Style5"/>
        </w:rPr>
        <w:tab/>
      </w:r>
      <w:r>
        <w:rPr/>
        <w:t xml:space="preserve"> В случае, если членство в СРО требуется в соответствии с законодательством Российской Федерации </w:t>
      </w:r>
    </w:p>
  </w:footnote>
  <w:footnote w:id="5">
    <w:p>
      <w:pPr>
        <w:pStyle w:val="FootnoteText"/>
        <w:jc w:val="both"/>
        <w:rPr/>
      </w:pPr>
      <w:r>
        <w:rPr>
          <w:rStyle w:val="Style5"/>
        </w:rPr>
        <w:footnoteRef/>
      </w:r>
      <w:r>
        <w:rPr>
          <w:rStyle w:val="Style5"/>
        </w:rPr>
        <w:tab/>
      </w:r>
      <w:r>
        <w:rPr/>
        <w:t xml:space="preserve"> В случае, если членство в СРО требуется в соответствии с законодательством Российской Федерации</w:t>
      </w:r>
    </w:p>
  </w:footnote>
  <w:footnote w:id="6">
    <w:p>
      <w:pPr>
        <w:pStyle w:val="FootnoteText"/>
        <w:jc w:val="both"/>
        <w:rPr/>
      </w:pPr>
      <w:r>
        <w:rPr>
          <w:rStyle w:val="Style5"/>
        </w:rPr>
        <w:footnoteRef/>
      </w:r>
      <w:r>
        <w:rPr>
          <w:rStyle w:val="Style5"/>
        </w:rPr>
        <w:tab/>
      </w:r>
      <w:r>
        <w:rPr/>
        <w:t xml:space="preserve"> С учетом комментариев к пункту 2.3.9 Договора.</w:t>
      </w:r>
    </w:p>
  </w:footnote>
  <w:footnote w:id="7">
    <w:p>
      <w:pPr>
        <w:pStyle w:val="FootnoteText"/>
        <w:rPr/>
      </w:pPr>
      <w:r>
        <w:rPr>
          <w:rStyle w:val="Style5"/>
        </w:rPr>
        <w:footnoteRef/>
      </w:r>
      <w:r>
        <w:rPr>
          <w:rStyle w:val="Style5"/>
        </w:rPr>
        <w:tab/>
      </w:r>
      <w:r>
        <w:rPr/>
        <w:t xml:space="preserve"> Абзацы второй и третий включаются в текст договора в случае заключения договора в электронной форме.</w:t>
      </w:r>
    </w:p>
  </w:footnote>
  <w:footnote w:id="8">
    <w:p>
      <w:pPr>
        <w:pStyle w:val="FootnoteText"/>
        <w:rPr/>
      </w:pPr>
      <w:r>
        <w:rPr>
          <w:rStyle w:val="Style5"/>
        </w:rPr>
        <w:footnoteRef/>
      </w:r>
      <w:r>
        <w:rPr>
          <w:rStyle w:val="Style5"/>
        </w:rPr>
        <w:tab/>
      </w:r>
      <w:r>
        <w:rPr/>
        <w:t xml:space="preserve"> Наименование Объекта, в отношении которого выполняются Этапы Работ. </w:t>
      </w:r>
    </w:p>
  </w:footnote>
  <w:footnote w:id="9">
    <w:p>
      <w:pPr>
        <w:pStyle w:val="Normal"/>
        <w:rPr>
          <w:sz w:val="24"/>
          <w:szCs w:val="24"/>
        </w:rPr>
      </w:pPr>
      <w:r>
        <w:rPr>
          <w:rStyle w:val="Style5"/>
        </w:rPr>
        <w:t>Полное наименование/ФИО</w:t>
      </w:r>
      <w:r>
        <w:rPr>
          <w:rStyle w:val="Style5"/>
          <w:rFonts w:eastAsia="Symbol" w:cs="Symbol" w:ascii="Symbol" w:hAnsi="Symbol"/>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1"/>
      </w:pBdr>
      <w:spacing w:lineRule="auto" w:line="288"/>
      <w:jc w:val="right"/>
      <w:rPr>
        <w:sz w:val="20"/>
        <w:szCs w:val="20"/>
      </w:rPr>
    </w:pPr>
    <w:r>
      <w:rPr>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204" w:hanging="360"/>
      </w:pPr>
      <w:rPr>
        <w:sz w:val="24"/>
        <w:b/>
      </w:rPr>
    </w:lvl>
    <w:lvl w:ilvl="1">
      <w:start w:val="1"/>
      <w:numFmt w:val="decimal"/>
      <w:lvlText w:val="%1.%2."/>
      <w:lvlJc w:val="left"/>
      <w:pPr>
        <w:tabs>
          <w:tab w:val="num" w:pos="0"/>
        </w:tabs>
        <w:ind w:left="1000" w:hanging="432"/>
      </w:pPr>
      <w:rPr>
        <w:sz w:val="24"/>
        <w:u w:val="none"/>
        <w:b/>
      </w:rPr>
    </w:lvl>
    <w:lvl w:ilvl="2">
      <w:start w:val="1"/>
      <w:numFmt w:val="decimal"/>
      <w:lvlText w:val="%1.%2.%3."/>
      <w:lvlJc w:val="left"/>
      <w:pPr>
        <w:tabs>
          <w:tab w:val="num" w:pos="0"/>
        </w:tabs>
        <w:ind w:left="1072"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5">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link w:val="1"/>
    <w:qFormat/>
    <w:pPr>
      <w:keepNext w:val="true"/>
      <w:spacing w:before="240" w:after="60"/>
      <w:outlineLvl w:val="0"/>
    </w:pPr>
    <w:rPr>
      <w:rFonts w:ascii="Cambria" w:hAnsi="Cambria"/>
      <w:b/>
      <w:bCs/>
      <w:sz w:val="32"/>
      <w:szCs w:val="32"/>
    </w:rPr>
  </w:style>
  <w:style w:type="paragraph" w:styleId="Heading2">
    <w:name w:val="Heading 2"/>
    <w:basedOn w:val="Normal"/>
    <w:link w:val="2"/>
    <w:qFormat/>
    <w:pPr>
      <w:keepNext w:val="true"/>
      <w:spacing w:before="240" w:after="60"/>
      <w:outlineLvl w:val="1"/>
    </w:pPr>
    <w:rPr>
      <w:rFonts w:ascii="Cambria" w:hAnsi="Cambria"/>
      <w:b/>
      <w:bCs/>
      <w:i/>
      <w:iCs/>
    </w:rPr>
  </w:style>
  <w:style w:type="paragraph" w:styleId="Heading3">
    <w:name w:val="Heading 3"/>
    <w:basedOn w:val="Normal"/>
    <w:link w:val="3"/>
    <w:uiPriority w:val="9"/>
    <w:qFormat/>
    <w:pPr>
      <w:keepNext w:val="true"/>
      <w:spacing w:lineRule="auto" w:line="240" w:before="120" w:after="120"/>
      <w:ind w:hanging="0"/>
      <w:jc w:val="left"/>
      <w:outlineLvl w:val="2"/>
    </w:pPr>
    <w:rPr>
      <w:b/>
      <w:szCs w:val="20"/>
    </w:rPr>
  </w:style>
  <w:style w:type="paragraph" w:styleId="Heading4">
    <w:name w:val="Heading 4"/>
    <w:basedOn w:val="Normal"/>
    <w:link w:val="4"/>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Pr>
      <w:rFonts w:ascii="Arial" w:hAnsi="Arial" w:eastAsia="Arial" w:cs="Arial"/>
      <w:sz w:val="40"/>
      <w:szCs w:val="40"/>
    </w:rPr>
  </w:style>
  <w:style w:type="character" w:styleId="Heading2Char" w:customStyle="1">
    <w:name w:val="Heading 2 Char"/>
    <w:basedOn w:val="DefaultParagraphFont"/>
    <w:uiPriority w:val="9"/>
    <w:qFormat/>
    <w:rPr>
      <w:rFonts w:ascii="Arial" w:hAnsi="Arial" w:eastAsia="Arial" w:cs="Arial"/>
      <w:sz w:val="34"/>
    </w:rPr>
  </w:style>
  <w:style w:type="character" w:styleId="Heading3Char" w:customStyle="1">
    <w:name w:val="Heading 3 Char"/>
    <w:basedOn w:val="DefaultParagraphFont"/>
    <w:uiPriority w:val="9"/>
    <w:qFormat/>
    <w:rPr>
      <w:rFonts w:ascii="Arial" w:hAnsi="Arial" w:eastAsia="Arial" w:cs="Arial"/>
      <w:sz w:val="30"/>
      <w:szCs w:val="30"/>
    </w:rPr>
  </w:style>
  <w:style w:type="character" w:styleId="4" w:customStyle="1">
    <w:name w:val="Заголовок 4 Знак"/>
    <w:basedOn w:val="DefaultParagraphFont"/>
    <w:uiPriority w:val="9"/>
    <w:qFormat/>
    <w:rPr>
      <w:rFonts w:ascii="Arial" w:hAnsi="Arial" w:eastAsia="Arial" w:cs="Arial"/>
      <w:b/>
      <w:bCs/>
      <w:sz w:val="26"/>
      <w:szCs w:val="26"/>
    </w:rPr>
  </w:style>
  <w:style w:type="character" w:styleId="5" w:customStyle="1">
    <w:name w:val="Заголовок 5 Знак"/>
    <w:basedOn w:val="DefaultParagraphFont"/>
    <w:uiPriority w:val="9"/>
    <w:qFormat/>
    <w:rPr>
      <w:rFonts w:ascii="Arial" w:hAnsi="Arial" w:eastAsia="Arial" w:cs="Arial"/>
      <w:b/>
      <w:bCs/>
      <w:sz w:val="24"/>
      <w:szCs w:val="24"/>
    </w:rPr>
  </w:style>
  <w:style w:type="character" w:styleId="6" w:customStyle="1">
    <w:name w:val="Заголовок 6 Знак"/>
    <w:basedOn w:val="DefaultParagraphFont"/>
    <w:uiPriority w:val="9"/>
    <w:qFormat/>
    <w:rPr>
      <w:rFonts w:ascii="Arial" w:hAnsi="Arial" w:eastAsia="Arial" w:cs="Arial"/>
      <w:b/>
      <w:bCs/>
      <w:sz w:val="22"/>
      <w:szCs w:val="22"/>
    </w:rPr>
  </w:style>
  <w:style w:type="character" w:styleId="7" w:customStyle="1">
    <w:name w:val="Заголовок 7 Знак"/>
    <w:basedOn w:val="DefaultParagraphFont"/>
    <w:uiPriority w:val="9"/>
    <w:qFormat/>
    <w:rPr>
      <w:rFonts w:ascii="Arial" w:hAnsi="Arial" w:eastAsia="Arial" w:cs="Arial"/>
      <w:b/>
      <w:bCs/>
      <w:i/>
      <w:iCs/>
      <w:sz w:val="22"/>
      <w:szCs w:val="22"/>
    </w:rPr>
  </w:style>
  <w:style w:type="character" w:styleId="8" w:customStyle="1">
    <w:name w:val="Заголовок 8 Знак"/>
    <w:basedOn w:val="DefaultParagraphFont"/>
    <w:uiPriority w:val="9"/>
    <w:qFormat/>
    <w:rPr>
      <w:rFonts w:ascii="Arial" w:hAnsi="Arial" w:eastAsia="Arial" w:cs="Arial"/>
      <w:i/>
      <w:iCs/>
      <w:sz w:val="22"/>
      <w:szCs w:val="22"/>
    </w:rPr>
  </w:style>
  <w:style w:type="character" w:styleId="9" w:customStyle="1">
    <w:name w:val="Заголовок 9 Знак"/>
    <w:basedOn w:val="DefaultParagraphFont"/>
    <w:uiPriority w:val="9"/>
    <w:qFormat/>
    <w:rPr>
      <w:rFonts w:ascii="Arial" w:hAnsi="Arial" w:eastAsia="Arial" w:cs="Arial"/>
      <w:i/>
      <w:iCs/>
      <w:sz w:val="21"/>
      <w:szCs w:val="21"/>
    </w:rPr>
  </w:style>
  <w:style w:type="character" w:styleId="TitleChar" w:customStyle="1">
    <w:name w:val="Title Char"/>
    <w:basedOn w:val="DefaultParagraphFont"/>
    <w:uiPriority w:val="10"/>
    <w:qFormat/>
    <w:rPr>
      <w:sz w:val="48"/>
      <w:szCs w:val="48"/>
    </w:rPr>
  </w:style>
  <w:style w:type="character" w:styleId="Style" w:customStyle="1">
    <w:name w:val="Подзаголовок Знак"/>
    <w:basedOn w:val="DefaultParagraphFont"/>
    <w:uiPriority w:val="11"/>
    <w:qFormat/>
    <w:rPr>
      <w:sz w:val="24"/>
      <w:szCs w:val="24"/>
    </w:rPr>
  </w:style>
  <w:style w:type="character" w:styleId="2" w:customStyle="1">
    <w:name w:val="Цитата 2 Знак"/>
    <w:uiPriority w:val="29"/>
    <w:qFormat/>
    <w:rPr>
      <w:i/>
    </w:rPr>
  </w:style>
  <w:style w:type="character" w:styleId="Style1" w:customStyle="1">
    <w:name w:val="Выделенная цитата Знак"/>
    <w:uiPriority w:val="30"/>
    <w:qFormat/>
    <w:rPr>
      <w:i/>
    </w:rPr>
  </w:style>
  <w:style w:type="character" w:styleId="HeaderChar" w:customStyle="1">
    <w:name w:val="Header Char"/>
    <w:basedOn w:val="DefaultParagraphFont"/>
    <w:uiPriority w:val="99"/>
    <w:qFormat/>
    <w:rPr/>
  </w:style>
  <w:style w:type="character" w:styleId="FooterChar" w:customStyle="1">
    <w:name w:val="Footer Char"/>
    <w:basedOn w:val="DefaultParagraphFont"/>
    <w:uiPriority w:val="99"/>
    <w:qFormat/>
    <w:rPr/>
  </w:style>
  <w:style w:type="character" w:styleId="CaptionChar" w:customStyle="1">
    <w:name w:val="Caption Char"/>
    <w:uiPriority w:val="99"/>
    <w:qFormat/>
    <w:rPr/>
  </w:style>
  <w:style w:type="character" w:styleId="FootnoteTextChar" w:customStyle="1">
    <w:name w:val="Footnote Text Char"/>
    <w:uiPriority w:val="99"/>
    <w:qFormat/>
    <w:rPr>
      <w:sz w:val="18"/>
    </w:rPr>
  </w:style>
  <w:style w:type="character" w:styleId="EndnoteTextChar" w:customStyle="1">
    <w:name w:val="Endnote Text Char"/>
    <w:uiPriority w:val="99"/>
    <w:qFormat/>
    <w:rPr>
      <w:sz w:val="20"/>
    </w:rPr>
  </w:style>
  <w:style w:type="character" w:styleId="1" w:customStyle="1">
    <w:name w:val="Заголовок 1 Знак"/>
    <w:basedOn w:val="DefaultParagraphFont"/>
    <w:qFormat/>
    <w:rPr>
      <w:rFonts w:ascii="Cambria" w:hAnsi="Cambria" w:eastAsia="Times New Roman" w:cs="Times New Roman"/>
      <w:b/>
      <w:bCs/>
      <w:sz w:val="32"/>
      <w:szCs w:val="32"/>
    </w:rPr>
  </w:style>
  <w:style w:type="character" w:styleId="21" w:customStyle="1">
    <w:name w:val="Заголовок 2 Знак"/>
    <w:basedOn w:val="DefaultParagraphFont"/>
    <w:qFormat/>
    <w:rPr>
      <w:rFonts w:ascii="Cambria" w:hAnsi="Cambria" w:eastAsia="Times New Roman" w:cs="Times New Roman"/>
      <w:b/>
      <w:bCs/>
      <w:i/>
      <w:iCs/>
      <w:sz w:val="28"/>
      <w:szCs w:val="28"/>
    </w:rPr>
  </w:style>
  <w:style w:type="character" w:styleId="3" w:customStyle="1">
    <w:name w:val="Заголовок 3 Знак"/>
    <w:basedOn w:val="DefaultParagraphFont"/>
    <w:uiPriority w:val="9"/>
    <w:qFormat/>
    <w:rPr>
      <w:rFonts w:ascii="Times New Roman" w:hAnsi="Times New Roman" w:eastAsia="Times New Roman" w:cs="Times New Roman"/>
      <w:b/>
      <w:sz w:val="28"/>
      <w:szCs w:val="20"/>
    </w:rPr>
  </w:style>
  <w:style w:type="character" w:styleId="31" w:customStyle="1">
    <w:name w:val="Основной текст 3 Знак"/>
    <w:basedOn w:val="DefaultParagraphFont"/>
    <w:qFormat/>
    <w:rPr>
      <w:rFonts w:ascii="Times New Roman" w:hAnsi="Times New Roman" w:eastAsia="Times New Roman" w:cs="Times New Roman"/>
      <w:color w:val="0000FF"/>
      <w:sz w:val="24"/>
      <w:szCs w:val="24"/>
    </w:rPr>
  </w:style>
  <w:style w:type="character" w:styleId="Style2" w:customStyle="1">
    <w:name w:val="Верхний колонтитул Знак"/>
    <w:basedOn w:val="DefaultParagraphFont"/>
    <w:qFormat/>
    <w:rPr>
      <w:rFonts w:ascii="Times New Roman" w:hAnsi="Times New Roman" w:eastAsia="Times New Roman" w:cs="Times New Roman"/>
      <w:sz w:val="28"/>
      <w:szCs w:val="28"/>
      <w:lang w:eastAsia="ru-RU"/>
    </w:rPr>
  </w:style>
  <w:style w:type="character" w:styleId="Style3" w:customStyle="1">
    <w:name w:val="Основной текст Знак"/>
    <w:basedOn w:val="DefaultParagraphFont"/>
    <w:qFormat/>
    <w:rPr>
      <w:rFonts w:ascii="Times New Roman" w:hAnsi="Times New Roman" w:eastAsia="Times New Roman" w:cs="Times New Roman"/>
      <w:sz w:val="28"/>
      <w:szCs w:val="28"/>
      <w:lang w:eastAsia="ru-RU"/>
    </w:rPr>
  </w:style>
  <w:style w:type="character" w:styleId="22" w:customStyle="1">
    <w:name w:val="Основной текст 2 Знак"/>
    <w:basedOn w:val="DefaultParagraphFont"/>
    <w:link w:val="24"/>
    <w:qFormat/>
    <w:rPr>
      <w:rFonts w:ascii="Times New Roman" w:hAnsi="Times New Roman" w:eastAsia="Times New Roman" w:cs="Times New Roman"/>
      <w:sz w:val="20"/>
      <w:szCs w:val="20"/>
      <w:lang w:eastAsia="ru-RU"/>
    </w:rPr>
  </w:style>
  <w:style w:type="character" w:styleId="Style4"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5">
    <w:name w:val="Символ сноски"/>
    <w:qFormat/>
    <w:rPr/>
  </w:style>
  <w:style w:type="character" w:styleId="FootnoteReference">
    <w:name w:val="Footnote Reference"/>
    <w:rPr>
      <w:vertAlign w:val="superscript"/>
    </w:rPr>
  </w:style>
  <w:style w:type="character" w:styleId="32" w:customStyle="1">
    <w:name w:val="Основной текст с отступом 3 Знак"/>
    <w:basedOn w:val="DefaultParagraphFont"/>
    <w:link w:val="34"/>
    <w:qFormat/>
    <w:rPr>
      <w:rFonts w:ascii="Times New Roman" w:hAnsi="Times New Roman" w:eastAsia="Times New Roman" w:cs="Times New Roman"/>
      <w:sz w:val="16"/>
      <w:szCs w:val="16"/>
      <w:lang w:eastAsia="ru-RU"/>
    </w:rPr>
  </w:style>
  <w:style w:type="character" w:styleId="33" w:customStyle="1">
    <w:name w:val="3. Подпункт Знак"/>
    <w:qFormat/>
    <w:rPr>
      <w:rFonts w:ascii="Times New Roman" w:hAnsi="Times New Roman" w:eastAsia="Times New Roman" w:cs="Times New Roman"/>
      <w:b/>
      <w:bCs/>
      <w:sz w:val="24"/>
      <w:szCs w:val="24"/>
    </w:rPr>
  </w:style>
  <w:style w:type="character" w:styleId="Style6" w:customStyle="1">
    <w:name w:val="Текст выноски Знак"/>
    <w:basedOn w:val="DefaultParagraphFont"/>
    <w:qFormat/>
    <w:rPr>
      <w:rFonts w:ascii="Tahoma" w:hAnsi="Tahoma" w:eastAsia="Times New Roman" w:cs="Times New Roman"/>
      <w:sz w:val="16"/>
      <w:szCs w:val="16"/>
    </w:rPr>
  </w:style>
  <w:style w:type="character" w:styleId="11" w:customStyle="1">
    <w:name w:val="1. Статья Знак"/>
    <w:qFormat/>
    <w:rPr>
      <w:rFonts w:ascii="Times New Roman" w:hAnsi="Times New Roman" w:eastAsia="Times New Roman" w:cs="Times New Roman"/>
      <w:sz w:val="24"/>
      <w:szCs w:val="24"/>
    </w:rPr>
  </w:style>
  <w:style w:type="character" w:styleId="41" w:customStyle="1">
    <w:name w:val="4. Отчерк Знак"/>
    <w:qFormat/>
    <w:rPr>
      <w:rFonts w:ascii="Times New Roman" w:hAnsi="Times New Roman" w:eastAsia="Times New Roman" w:cs="Times New Roman"/>
      <w:sz w:val="24"/>
      <w:szCs w:val="24"/>
    </w:rPr>
  </w:style>
  <w:style w:type="character" w:styleId="Annotationreference">
    <w:name w:val="annotation reference"/>
    <w:qFormat/>
    <w:rPr>
      <w:sz w:val="16"/>
      <w:szCs w:val="16"/>
    </w:rPr>
  </w:style>
  <w:style w:type="character" w:styleId="Style7" w:customStyle="1">
    <w:name w:val="Текст примечания Знак"/>
    <w:basedOn w:val="DefaultParagraphFont"/>
    <w:qFormat/>
    <w:rPr>
      <w:rFonts w:ascii="Times New Roman" w:hAnsi="Times New Roman" w:eastAsia="Times New Roman" w:cs="Times New Roman"/>
      <w:sz w:val="20"/>
      <w:szCs w:val="20"/>
    </w:rPr>
  </w:style>
  <w:style w:type="character" w:styleId="Style8" w:customStyle="1">
    <w:name w:val="Тема примечания Знак"/>
    <w:basedOn w:val="Style7"/>
    <w:qFormat/>
    <w:rPr>
      <w:rFonts w:ascii="Times New Roman" w:hAnsi="Times New Roman" w:eastAsia="Times New Roman" w:cs="Times New Roman"/>
      <w:b/>
      <w:bCs/>
      <w:sz w:val="20"/>
      <w:szCs w:val="20"/>
    </w:rPr>
  </w:style>
  <w:style w:type="character" w:styleId="Style9" w:customStyle="1">
    <w:name w:val="Нижний колонтитул Знак"/>
    <w:basedOn w:val="DefaultParagraphFont"/>
    <w:uiPriority w:val="99"/>
    <w:qFormat/>
    <w:rPr>
      <w:rFonts w:ascii="Times New Roman" w:hAnsi="Times New Roman" w:eastAsia="Times New Roman" w:cs="Times New Roman"/>
      <w:sz w:val="28"/>
      <w:szCs w:val="28"/>
    </w:rPr>
  </w:style>
  <w:style w:type="character" w:styleId="Style10" w:customStyle="1">
    <w:name w:val="Заголовок Знак"/>
    <w:basedOn w:val="DefaultParagraphFont"/>
    <w:qFormat/>
    <w:rPr>
      <w:rFonts w:ascii="Times New Roman" w:hAnsi="Times New Roman" w:eastAsia="Times New Roman" w:cs="Times New Roman"/>
      <w:shd w:fill="FFFFFF" w:val="clear"/>
    </w:rPr>
  </w:style>
  <w:style w:type="character" w:styleId="Style11" w:customStyle="1">
    <w:name w:val="Основной текст с отступом Знак"/>
    <w:basedOn w:val="DefaultParagraphFont"/>
    <w:qFormat/>
    <w:rPr>
      <w:rFonts w:ascii="Times New Roman" w:hAnsi="Times New Roman" w:eastAsia="Times New Roman" w:cs="Times New Roman"/>
      <w:sz w:val="28"/>
      <w:szCs w:val="28"/>
    </w:rPr>
  </w:style>
  <w:style w:type="character" w:styleId="FontStyle16" w:customStyle="1">
    <w:name w:val="Font Style16"/>
    <w:qFormat/>
    <w:rPr>
      <w:rFonts w:ascii="Times New Roman" w:hAnsi="Times New Roman" w:cs="Times New Roman"/>
      <w:sz w:val="24"/>
      <w:szCs w:val="24"/>
    </w:rPr>
  </w:style>
  <w:style w:type="character" w:styleId="Hyperlink">
    <w:name w:val="Hyperlink"/>
    <w:uiPriority w:val="99"/>
    <w:unhideWhenUsed/>
    <w:rPr>
      <w:color w:val="0000FF"/>
      <w:u w:val="single"/>
    </w:rPr>
  </w:style>
  <w:style w:type="character" w:styleId="Style12" w:customStyle="1">
    <w:name w:val="Текст концевой сноски Знак"/>
    <w:basedOn w:val="DefaultParagraphFont"/>
    <w:uiPriority w:val="99"/>
    <w:semiHidden/>
    <w:qFormat/>
    <w:rPr>
      <w:rFonts w:ascii="Times New Roman" w:hAnsi="Times New Roman" w:eastAsia="Times New Roman" w:cs="Times New Roman"/>
      <w:sz w:val="20"/>
      <w:szCs w:val="20"/>
    </w:rPr>
  </w:style>
  <w:style w:type="character" w:styleId="Style13">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Style14" w:customStyle="1">
    <w:name w:val="Абзац списка Знак"/>
    <w:uiPriority w:val="34"/>
    <w:qFormat/>
    <w:rPr>
      <w:rFonts w:ascii="Times New Roman" w:hAnsi="Times New Roman" w:eastAsia="Times New Roman" w:cs="Times New Roman"/>
      <w:sz w:val="24"/>
      <w:szCs w:val="24"/>
      <w:lang w:eastAsia="ru-RU"/>
    </w:rPr>
  </w:style>
  <w:style w:type="character" w:styleId="Style15">
    <w:name w:val="Символы концевой сноски"/>
    <w:qFormat/>
    <w:rPr/>
  </w:style>
  <w:style w:type="paragraph" w:styleId="Style16">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7">
    <w:name w:val="Указатель"/>
    <w:basedOn w:val="Normal"/>
    <w:qFormat/>
    <w:pPr>
      <w:suppressLineNumbers/>
    </w:pPr>
    <w:rPr/>
  </w:style>
  <w:style w:type="paragraph" w:styleId="NoSpacing">
    <w:name w:val="No Spacing"/>
    <w:uiPriority w:val="1"/>
    <w:qFormat/>
    <w:pPr>
      <w:widowControl/>
      <w:bidi w:val="0"/>
      <w:spacing w:lineRule="auto" w:line="240" w:before="0" w:after="0"/>
      <w:jc w:val="left"/>
    </w:pPr>
    <w:rPr>
      <w:rFonts w:ascii="Calibri" w:hAnsi="Calibri" w:eastAsia="Calibri" w:cs="Arial" w:asciiTheme="minorHAnsi" w:cstheme="minorBidi" w:eastAsiaTheme="minorHAnsi" w:hAnsiTheme="minorHAnsi"/>
      <w:color w:val="00000A"/>
      <w:kern w:val="0"/>
      <w:sz w:val="28"/>
      <w:szCs w:val="22"/>
      <w:lang w:val="ru-RU" w:eastAsia="en-US"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link w:val="22"/>
    <w:uiPriority w:val="29"/>
    <w:qFormat/>
    <w:pPr>
      <w:ind w:left="720" w:right="720" w:firstLine="567"/>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firstLine="567"/>
    </w:pPr>
    <w:rPr>
      <w:i/>
    </w:rPr>
  </w:style>
  <w:style w:type="paragraph" w:styleId="TOC1">
    <w:name w:val="TOC 1"/>
    <w:basedOn w:val="Normal"/>
    <w:uiPriority w:val="39"/>
    <w:unhideWhenUsed/>
    <w:pPr>
      <w:spacing w:before="0" w:after="57"/>
      <w:ind w:hanging="0"/>
    </w:pPr>
    <w:rPr/>
  </w:style>
  <w:style w:type="paragraph" w:styleId="TOC2">
    <w:name w:val="TOC 2"/>
    <w:basedOn w:val="Normal"/>
    <w:uiPriority w:val="39"/>
    <w:unhideWhenUsed/>
    <w:pPr>
      <w:spacing w:before="0" w:after="57"/>
      <w:ind w:left="283" w:hanging="0"/>
    </w:pPr>
    <w:rPr/>
  </w:style>
  <w:style w:type="paragraph" w:styleId="TOC3">
    <w:name w:val="TOC 3"/>
    <w:basedOn w:val="Normal"/>
    <w:uiPriority w:val="39"/>
    <w:unhideWhenUsed/>
    <w:pPr>
      <w:spacing w:before="0" w:after="57"/>
      <w:ind w:left="567" w:hanging="0"/>
    </w:pPr>
    <w:rPr/>
  </w:style>
  <w:style w:type="paragraph" w:styleId="TOC4">
    <w:name w:val="TOC 4"/>
    <w:basedOn w:val="Normal"/>
    <w:uiPriority w:val="39"/>
    <w:unhideWhenUsed/>
    <w:pPr>
      <w:spacing w:before="0" w:after="57"/>
      <w:ind w:left="850" w:hanging="0"/>
    </w:pPr>
    <w:rPr/>
  </w:style>
  <w:style w:type="paragraph" w:styleId="TOC5">
    <w:name w:val="TOC 5"/>
    <w:basedOn w:val="Normal"/>
    <w:uiPriority w:val="39"/>
    <w:unhideWhenUsed/>
    <w:pPr>
      <w:spacing w:before="0" w:after="57"/>
      <w:ind w:left="1134" w:hanging="0"/>
    </w:pPr>
    <w:rPr/>
  </w:style>
  <w:style w:type="paragraph" w:styleId="TOC6">
    <w:name w:val="TOC 6"/>
    <w:basedOn w:val="Normal"/>
    <w:uiPriority w:val="39"/>
    <w:unhideWhenUsed/>
    <w:pPr>
      <w:spacing w:before="0" w:after="57"/>
      <w:ind w:left="1417" w:hanging="0"/>
    </w:pPr>
    <w:rPr/>
  </w:style>
  <w:style w:type="paragraph" w:styleId="TOC7">
    <w:name w:val="TOC 7"/>
    <w:basedOn w:val="Normal"/>
    <w:uiPriority w:val="39"/>
    <w:unhideWhenUsed/>
    <w:pPr>
      <w:spacing w:before="0" w:after="57"/>
      <w:ind w:left="1701" w:hanging="0"/>
    </w:pPr>
    <w:rPr/>
  </w:style>
  <w:style w:type="paragraph" w:styleId="TOC8">
    <w:name w:val="TOC 8"/>
    <w:basedOn w:val="Normal"/>
    <w:uiPriority w:val="39"/>
    <w:unhideWhenUsed/>
    <w:pPr>
      <w:spacing w:before="0" w:after="57"/>
      <w:ind w:left="1984" w:hanging="0"/>
    </w:pPr>
    <w:rPr/>
  </w:style>
  <w:style w:type="paragraph" w:styleId="TOC9">
    <w:name w:val="TOC 9"/>
    <w:basedOn w:val="Normal"/>
    <w:uiPriority w:val="39"/>
    <w:unhideWhenUsed/>
    <w:pPr>
      <w:spacing w:before="0" w:after="57"/>
      <w:ind w:left="2268" w:hanging="0"/>
    </w:pPr>
    <w:rPr/>
  </w:style>
  <w:style w:type="paragraph" w:styleId="IndexHeading">
    <w:name w:val="Index Heading"/>
    <w:basedOn w:val="Style16"/>
    <w:pPr/>
    <w:rPr/>
  </w:style>
  <w:style w:type="paragraph" w:styleId="TOCHeading">
    <w:name w:val="TOC Heading"/>
    <w:uiPriority w:val="39"/>
    <w:unhideWhenUsed/>
    <w:qFormat/>
    <w:pPr>
      <w:widowControl/>
      <w:bidi w:val="0"/>
      <w:spacing w:before="0" w:after="0"/>
      <w:jc w:val="left"/>
    </w:pPr>
    <w:rPr>
      <w:rFonts w:ascii="Calibri" w:hAnsi="Calibri" w:eastAsia="Calibri" w:cs="Arial" w:asciiTheme="minorHAnsi" w:cstheme="minorBidi" w:eastAsiaTheme="minorHAnsi" w:hAnsiTheme="minorHAnsi"/>
      <w:color w:val="00000A"/>
      <w:kern w:val="0"/>
      <w:sz w:val="28"/>
      <w:szCs w:val="22"/>
      <w:lang w:val="ru-RU" w:eastAsia="en-US" w:bidi="ar-SA"/>
    </w:rPr>
  </w:style>
  <w:style w:type="paragraph" w:styleId="Tableoffigures">
    <w:name w:val="table of figures"/>
    <w:basedOn w:val="Normal"/>
    <w:uiPriority w:val="99"/>
    <w:unhideWhenUsed/>
    <w:qFormat/>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18">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Style19"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20"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uiPriority w:val="99"/>
    <w:qFormat/>
    <w:pPr/>
    <w:rPr/>
  </w:style>
  <w:style w:type="paragraph" w:styleId="Style21"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3"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22"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23" w:customStyle="1">
    <w:name w:val="Пункт договора"/>
    <w:basedOn w:val="Normal"/>
    <w:qFormat/>
    <w:pPr>
      <w:widowControl w:val="false"/>
      <w:spacing w:lineRule="auto" w:line="240"/>
      <w:ind w:hanging="0"/>
    </w:pPr>
    <w:rPr>
      <w:rFonts w:ascii="Arial" w:hAnsi="Arial"/>
      <w:sz w:val="20"/>
      <w:szCs w:val="20"/>
    </w:rPr>
  </w:style>
  <w:style w:type="paragraph" w:styleId="Style24"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qFormat/>
    <w:pPr>
      <w:keepNext w:val="false"/>
      <w:widowControl w:val="false"/>
      <w:tabs>
        <w:tab w:val="clear" w:pos="708"/>
        <w:tab w:val="left" w:pos="2340" w:leader="none"/>
      </w:tabs>
      <w:spacing w:before="0" w:after="0"/>
      <w:ind w:right="1462" w:hanging="0"/>
      <w:jc w:val="center"/>
    </w:pPr>
    <w:rPr>
      <w:b w:val="false"/>
      <w:sz w:val="24"/>
      <w:szCs w:val="24"/>
    </w:rPr>
  </w:style>
  <w:style w:type="paragraph" w:styleId="24" w:customStyle="1">
    <w:name w:val="2. Пункт"/>
    <w:basedOn w:val="Heading3"/>
    <w:qFormat/>
    <w:pPr>
      <w:keepNext w:val="false"/>
      <w:widowControl w:val="false"/>
      <w:spacing w:before="0" w:after="0"/>
      <w:jc w:val="both"/>
    </w:pPr>
    <w:rPr>
      <w:b w:val="false"/>
      <w:sz w:val="24"/>
      <w:szCs w:val="24"/>
    </w:rPr>
  </w:style>
  <w:style w:type="paragraph" w:styleId="34" w:customStyle="1">
    <w:name w:val="3. Подпункт"/>
    <w:basedOn w:val="Heading3"/>
    <w:qFormat/>
    <w:pPr>
      <w:keepNext w:val="false"/>
      <w:widowControl w:val="false"/>
      <w:tabs>
        <w:tab w:val="clear" w:pos="708"/>
        <w:tab w:val="left" w:pos="1620" w:leader="none"/>
      </w:tabs>
      <w:spacing w:before="0" w:after="0"/>
      <w:jc w:val="both"/>
    </w:pPr>
    <w:rPr>
      <w:bCs/>
      <w:sz w:val="24"/>
      <w:szCs w:val="24"/>
    </w:rPr>
  </w:style>
  <w:style w:type="paragraph" w:styleId="ConsNormal" w:customStyle="1">
    <w:name w:val="ConsNormal"/>
    <w:qFormat/>
    <w:pPr>
      <w:widowControl/>
      <w:bidi w:val="0"/>
      <w:spacing w:lineRule="auto" w:line="240"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2" w:customStyle="1">
    <w:name w:val="4. Отчерк"/>
    <w:basedOn w:val="Normal"/>
    <w:qFormat/>
    <w:pPr>
      <w:widowControl w:val="false"/>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Footer">
    <w:name w:val="Footer"/>
    <w:basedOn w:val="Normal"/>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bidi w:val="0"/>
      <w:spacing w:lineRule="auto" w:line="240"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qFormat/>
    <w:pPr>
      <w:widowControl w:val="false"/>
      <w:spacing w:lineRule="auto" w:line="240" w:before="0" w:after="120"/>
      <w:ind w:hanging="0"/>
      <w:jc w:val="center"/>
    </w:pPr>
    <w:rPr>
      <w:b/>
      <w:bCs/>
      <w:sz w:val="32"/>
      <w:szCs w:val="20"/>
    </w:rPr>
  </w:style>
  <w:style w:type="paragraph" w:styleId="BodyTextIndent">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Caption1">
    <w:name w:val="caption1"/>
    <w:basedOn w:val="Normal"/>
    <w:qFormat/>
    <w:pPr>
      <w:widowControl w:val="false"/>
      <w:spacing w:lineRule="auto" w:line="240" w:before="120" w:after="120"/>
      <w:ind w:hanging="0"/>
    </w:pPr>
    <w:rPr>
      <w:b/>
      <w:bCs/>
      <w:sz w:val="24"/>
      <w:szCs w:val="24"/>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rPr/>
  </w:style>
  <w:style w:type="paragraph" w:styleId="-2" w:customStyle="1">
    <w:name w:val="Контракт-подпункт"/>
    <w:basedOn w:val="Normal"/>
    <w:qFormat/>
    <w:pPr/>
    <w:rPr/>
  </w:style>
  <w:style w:type="paragraph" w:styleId="-3" w:customStyle="1">
    <w:name w:val="Контракт-подподпункт"/>
    <w:basedOn w:val="Normal"/>
    <w:qFormat/>
    <w:pPr/>
    <w:rPr/>
  </w:style>
  <w:style w:type="paragraph" w:styleId="EndnoteText">
    <w:name w:val="Endnote Text"/>
    <w:basedOn w:val="Normal"/>
    <w:uiPriority w:val="99"/>
    <w:semiHidden/>
    <w:unhideWhenUsed/>
    <w:qFormat/>
    <w:pPr/>
    <w:rPr>
      <w:sz w:val="20"/>
      <w:szCs w:val="20"/>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2">
    <w:name w:val="Plain Table 1"/>
    <w:basedOn w:val="a1"/>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24">
    <w:name w:val="Plain Table 2"/>
    <w:basedOn w:val="a1"/>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10">
    <w:name w:val="Grid Table 1 Light"/>
    <w:basedOn w:val="a1"/>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20">
    <w:name w:val="Grid Table 2"/>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7">
    <w:name w:val="Grid Table 7 Colorful"/>
    <w:basedOn w:val="a1"/>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11">
    <w:name w:val="List Table 1 Light"/>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21">
    <w:name w:val="List Table 2"/>
    <w:basedOn w:val="a1"/>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40">
    <w:name w:val="List Table 4"/>
    <w:basedOn w:val="a1"/>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70">
    <w:name w:val="List Table 7 Colorful"/>
    <w:basedOn w:val="a1"/>
    <w:uiPriority w:val="99"/>
    <w:pPr>
      <w:spacing w:after="0" w:line="240" w:lineRule="auto"/>
    </w:pPr>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pPr>
      <w:spacing w:after="0" w:line="240" w:lineRule="auto"/>
    </w:pPr>
    <w:rPr>
      <w:lang w:eastAsia="ru-RU"/>
      <w:color w:val="404040"/>
      <w:sz w:val="20"/>
      <w:szCs w:val="2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pPr>
      <w:spacing w:after="0" w:line="240" w:lineRule="auto"/>
    </w:pPr>
    <w:rPr>
      <w:lang w:eastAsia="ru-RU"/>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a1"/>
    <w:uiPriority w:val="99"/>
    <w:pPr>
      <w:spacing w:after="0" w:line="240" w:lineRule="auto"/>
    </w:pPr>
    <w:rPr>
      <w:lang w:eastAsia="ru-RU"/>
      <w:color w:val="404040"/>
      <w:sz w:val="20"/>
      <w:szCs w:val="2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pPr>
      <w:spacing w:after="0" w:line="240" w:lineRule="auto"/>
    </w:pPr>
    <w:rPr>
      <w:lang w:eastAsia="ru-RU"/>
      <w:color w:val="404040"/>
      <w:sz w:val="20"/>
      <w:szCs w:val="2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pPr>
      <w:spacing w:after="0" w:line="240" w:lineRule="auto"/>
    </w:pPr>
    <w:rPr>
      <w:lang w:eastAsia="ru-RU"/>
      <w:color w:val="404040"/>
      <w:sz w:val="20"/>
      <w:szCs w:val="2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pPr>
      <w:spacing w:after="0" w:line="240" w:lineRule="auto"/>
    </w:pPr>
    <w:rPr>
      <w:lang w:eastAsia="ru-RU"/>
      <w:color w:val="404040"/>
      <w:sz w:val="20"/>
      <w:szCs w:val="2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pPr>
      <w:spacing w:after="0" w:line="240" w:lineRule="auto"/>
    </w:pPr>
    <w:rPr>
      <w:lang w:eastAsia="ru-RU"/>
      <w:color w:val="404040"/>
      <w:sz w:val="20"/>
      <w:szCs w:val="2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pPr>
      <w:spacing w:after="0" w:line="240" w:lineRule="auto"/>
    </w:pPr>
    <w:rPr>
      <w:lang w:eastAsia="ru-RU"/>
      <w:color w:val="404040"/>
      <w:sz w:val="20"/>
      <w:szCs w:val="2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af2">
    <w:name w:val="Table Grid"/>
    <w:basedOn w:val="a1"/>
    <w:pPr>
      <w:spacing w:after="0" w:line="360" w:lineRule="auto"/>
      <w:jc w:val="both"/>
    </w:pPr>
    <w:rPr>
      <w:lang w:eastAsia="ru-RU"/>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6.xml"/><Relationship Id="rId18" Type="http://schemas.openxmlformats.org/officeDocument/2006/relationships/footer" Target="footer7.xml"/><Relationship Id="rId19" Type="http://schemas.openxmlformats.org/officeDocument/2006/relationships/header" Target="header8.xml"/><Relationship Id="rId20" Type="http://schemas.openxmlformats.org/officeDocument/2006/relationships/header" Target="header9.xml"/><Relationship Id="rId21" Type="http://schemas.openxmlformats.org/officeDocument/2006/relationships/footer" Target="footer8.xml"/><Relationship Id="rId22" Type="http://schemas.openxmlformats.org/officeDocument/2006/relationships/footer" Target="footer9.xml"/><Relationship Id="rId23" Type="http://schemas.openxmlformats.org/officeDocument/2006/relationships/footnotes" Target="footnotes.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B19A7-43DC-40DE-8740-407E05C4B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AlterOffice/3.3.0.4$Linux_X86_64 LibreOffice_project/fa736b558560ebea8f92088bfd7720f4b3918f3f</Application>
  <AppVersion>15.0000</AppVersion>
  <DocSecurity>0</DocSecurity>
  <Pages>37</Pages>
  <Words>12061</Words>
  <Characters>86233</Characters>
  <CharactersWithSpaces>97866</CharactersWithSpaces>
  <Paragraphs>620</Paragraphs>
  <Company>JSC DRSK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2023-01-17T00:14:00Z</dcterms:created>
  <dc:creator>Конищева Татьяна Владимировна</dc:creator>
  <dc:description/>
  <dc:language>ru-RU</dc:language>
  <cp:lastModifiedBy>molchanova_mn</cp:lastModifiedBy>
  <dcterms:modified xsi:type="dcterms:W3CDTF">2024-02-11T11:43:03Z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y fmtid="{D5CDD505-2E9C-101B-9397-08002B2CF9AE}" pid="6" name="_DocHome">
    <vt:i4>2086738557</vt:i4>
  </property>
</Properties>
</file>